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9322"/>
      </w:tblGrid>
      <w:tr w:rsidR="00081C4C" w:rsidRPr="0061675F" w14:paraId="736D1978" w14:textId="77777777" w:rsidTr="0061675F">
        <w:tc>
          <w:tcPr>
            <w:tcW w:w="9322" w:type="dxa"/>
          </w:tcPr>
          <w:p w14:paraId="63955865" w14:textId="631404A3" w:rsidR="00617C2E" w:rsidRPr="0061675F" w:rsidRDefault="00081C4C" w:rsidP="00FE7639">
            <w:pPr>
              <w:snapToGrid w:val="0"/>
              <w:spacing w:before="120" w:line="288" w:lineRule="auto"/>
              <w:jc w:val="center"/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0"/>
                <w:szCs w:val="40"/>
              </w:rPr>
            </w:pPr>
            <w:r w:rsidRPr="0061675F"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0"/>
                <w:szCs w:val="40"/>
              </w:rPr>
              <w:t>Nota de Premsa</w:t>
            </w:r>
          </w:p>
        </w:tc>
      </w:tr>
    </w:tbl>
    <w:p w14:paraId="70D0FBB8" w14:textId="4EDB16D0" w:rsidR="00081C4C" w:rsidRPr="0061675F" w:rsidRDefault="00081C4C" w:rsidP="00081C4C">
      <w:pPr>
        <w:snapToGrid w:val="0"/>
        <w:spacing w:before="360" w:after="120" w:line="288" w:lineRule="auto"/>
        <w:jc w:val="both"/>
        <w:rPr>
          <w:rFonts w:ascii="Calibri" w:hAnsi="Calibri" w:cs="Calibri"/>
          <w:bCs/>
        </w:rPr>
      </w:pPr>
      <w:r w:rsidRPr="0061675F">
        <w:rPr>
          <w:rFonts w:ascii="Calibri" w:hAnsi="Calibri" w:cs="Calibri"/>
          <w:bCs/>
        </w:rPr>
        <w:t xml:space="preserve">Tarragona, </w:t>
      </w:r>
      <w:r w:rsidR="0061675F" w:rsidRPr="0061675F">
        <w:rPr>
          <w:rFonts w:ascii="Calibri" w:hAnsi="Calibri" w:cs="Calibri"/>
          <w:bCs/>
        </w:rPr>
        <w:t>3</w:t>
      </w:r>
      <w:r w:rsidR="00144CF7" w:rsidRPr="0061675F">
        <w:rPr>
          <w:rFonts w:ascii="Calibri" w:hAnsi="Calibri" w:cs="Calibri"/>
          <w:bCs/>
        </w:rPr>
        <w:t xml:space="preserve"> d</w:t>
      </w:r>
      <w:r w:rsidR="0061675F" w:rsidRPr="0061675F">
        <w:rPr>
          <w:rFonts w:ascii="Calibri" w:hAnsi="Calibri" w:cs="Calibri"/>
          <w:bCs/>
        </w:rPr>
        <w:t>e maig</w:t>
      </w:r>
      <w:r w:rsidR="003B13A5" w:rsidRPr="0061675F">
        <w:rPr>
          <w:rFonts w:ascii="Calibri" w:hAnsi="Calibri" w:cs="Calibri"/>
          <w:bCs/>
        </w:rPr>
        <w:t xml:space="preserve"> </w:t>
      </w:r>
      <w:r w:rsidRPr="0061675F">
        <w:rPr>
          <w:rFonts w:ascii="Calibri" w:hAnsi="Calibri" w:cs="Calibri"/>
          <w:bCs/>
        </w:rPr>
        <w:t>de 202</w:t>
      </w:r>
      <w:r w:rsidR="003B13A5" w:rsidRPr="0061675F">
        <w:rPr>
          <w:rFonts w:ascii="Calibri" w:hAnsi="Calibri" w:cs="Calibri"/>
          <w:bCs/>
        </w:rPr>
        <w:t>2</w:t>
      </w:r>
    </w:p>
    <w:p w14:paraId="20BD3593" w14:textId="063D410D" w:rsidR="00144CF7" w:rsidRPr="0061675F" w:rsidRDefault="00144CF7" w:rsidP="00081C4C">
      <w:pPr>
        <w:snapToGrid w:val="0"/>
        <w:spacing w:before="120" w:after="120" w:line="288" w:lineRule="auto"/>
        <w:jc w:val="both"/>
        <w:rPr>
          <w:rFonts w:ascii="Calibri" w:hAnsi="Calibri" w:cs="Calibri"/>
        </w:rPr>
      </w:pPr>
    </w:p>
    <w:p w14:paraId="3C9CDFCC" w14:textId="77777777" w:rsidR="0061675F" w:rsidRPr="0061675F" w:rsidRDefault="0061675F" w:rsidP="0061675F">
      <w:pPr>
        <w:snapToGrid w:val="0"/>
        <w:spacing w:before="120" w:after="120" w:line="288" w:lineRule="auto"/>
        <w:jc w:val="both"/>
        <w:rPr>
          <w:rFonts w:eastAsia="Times New Roman" w:cstheme="minorHAnsi"/>
          <w:b/>
          <w:bCs/>
          <w:color w:val="D95016"/>
          <w:sz w:val="32"/>
          <w:szCs w:val="32"/>
          <w:lang w:eastAsia="zh-CN"/>
        </w:rPr>
      </w:pPr>
      <w:proofErr w:type="spellStart"/>
      <w:r w:rsidRPr="0061675F">
        <w:rPr>
          <w:rFonts w:eastAsia="Times New Roman" w:cstheme="minorHAnsi"/>
          <w:b/>
          <w:bCs/>
          <w:color w:val="D95016"/>
          <w:sz w:val="32"/>
          <w:szCs w:val="32"/>
          <w:lang w:eastAsia="zh-CN"/>
        </w:rPr>
        <w:t>ArqueoPirenaia</w:t>
      </w:r>
      <w:proofErr w:type="spellEnd"/>
      <w:r w:rsidRPr="0061675F">
        <w:rPr>
          <w:rFonts w:eastAsia="Times New Roman" w:cstheme="minorHAnsi"/>
          <w:b/>
          <w:bCs/>
          <w:color w:val="D95016"/>
          <w:sz w:val="32"/>
          <w:szCs w:val="32"/>
          <w:lang w:eastAsia="zh-CN"/>
        </w:rPr>
        <w:t xml:space="preserve">, un nou projecte </w:t>
      </w:r>
      <w:proofErr w:type="spellStart"/>
      <w:r w:rsidRPr="0061675F">
        <w:rPr>
          <w:rFonts w:eastAsia="Times New Roman" w:cstheme="minorHAnsi"/>
          <w:b/>
          <w:bCs/>
          <w:color w:val="D95016"/>
          <w:sz w:val="32"/>
          <w:szCs w:val="32"/>
          <w:lang w:eastAsia="zh-CN"/>
        </w:rPr>
        <w:t>FECYT</w:t>
      </w:r>
      <w:proofErr w:type="spellEnd"/>
      <w:r w:rsidRPr="0061675F">
        <w:rPr>
          <w:rFonts w:eastAsia="Times New Roman" w:cstheme="minorHAnsi"/>
          <w:b/>
          <w:bCs/>
          <w:color w:val="D95016"/>
          <w:sz w:val="32"/>
          <w:szCs w:val="32"/>
          <w:lang w:eastAsia="zh-CN"/>
        </w:rPr>
        <w:t xml:space="preserve"> de transferència del coneixement que portarà la didàctica i la mediació del patrimoni a la Vall de Núria</w:t>
      </w:r>
    </w:p>
    <w:p w14:paraId="390E9999" w14:textId="3D4F4C5B" w:rsidR="00144CF7" w:rsidRPr="0061675F" w:rsidRDefault="0061675F" w:rsidP="0061675F">
      <w:pPr>
        <w:snapToGrid w:val="0"/>
        <w:spacing w:before="120" w:after="120" w:line="288" w:lineRule="auto"/>
        <w:jc w:val="center"/>
        <w:rPr>
          <w:rFonts w:ascii="Calibri" w:hAnsi="Calibri" w:cs="Calibri"/>
        </w:rPr>
      </w:pPr>
      <w:r w:rsidRPr="0061675F">
        <w:rPr>
          <w:noProof/>
        </w:rPr>
        <w:drawing>
          <wp:inline distT="0" distB="0" distL="0" distR="0" wp14:anchorId="566D332B" wp14:editId="5683A89E">
            <wp:extent cx="5400040" cy="4050030"/>
            <wp:effectExtent l="0" t="0" r="0" b="7620"/>
            <wp:docPr id="1" name="Imagen 1" descr="Un grupo de personas en una montaña de roca en el pas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en una montaña de roca en el pas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0FCB" w14:textId="6DC74E9D" w:rsidR="004F0A24" w:rsidRPr="0061675F" w:rsidRDefault="0061675F" w:rsidP="0061675F">
      <w:pPr>
        <w:pStyle w:val="Ttulo6"/>
        <w:spacing w:before="120" w:after="120"/>
        <w:ind w:left="425"/>
        <w:jc w:val="both"/>
        <w:rPr>
          <w:rFonts w:asciiTheme="minorHAnsi" w:hAnsiTheme="minorHAnsi" w:cstheme="minorHAnsi"/>
          <w:sz w:val="20"/>
          <w:szCs w:val="20"/>
        </w:rPr>
      </w:pPr>
      <w:r w:rsidRPr="0061675F">
        <w:rPr>
          <w:rFonts w:ascii="Noto Serif" w:hAnsi="Noto Serif" w:cs="Noto Serif"/>
          <w:color w:val="808080"/>
          <w:sz w:val="20"/>
          <w:szCs w:val="20"/>
          <w:shd w:val="clear" w:color="auto" w:fill="FFFFFF"/>
        </w:rPr>
        <w:t>Vista general del jaciment de la Font Negra. Foto: ICAC.</w:t>
      </w:r>
    </w:p>
    <w:p w14:paraId="445F69CE" w14:textId="3A47B81B" w:rsidR="009D1933" w:rsidRPr="0061675F" w:rsidRDefault="009D1933" w:rsidP="00081C4C">
      <w:pPr>
        <w:snapToGrid w:val="0"/>
        <w:spacing w:before="120" w:after="120" w:line="288" w:lineRule="auto"/>
        <w:jc w:val="both"/>
        <w:rPr>
          <w:rFonts w:ascii="Calibri" w:hAnsi="Calibri" w:cs="Calibri"/>
        </w:rPr>
      </w:pPr>
    </w:p>
    <w:p w14:paraId="5F7513B9" w14:textId="298297A5" w:rsidR="0061675F" w:rsidRPr="0061675F" w:rsidRDefault="0061675F" w:rsidP="001F30E0">
      <w:pPr>
        <w:snapToGrid w:val="0"/>
        <w:spacing w:before="120" w:after="120" w:line="288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61675F">
        <w:rPr>
          <w:rFonts w:ascii="Calibri" w:hAnsi="Calibri" w:cs="Calibri"/>
          <w:b/>
          <w:bCs/>
          <w:sz w:val="24"/>
          <w:szCs w:val="24"/>
        </w:rPr>
        <w:t xml:space="preserve">La convocatòria 2022 de la </w:t>
      </w:r>
      <w:proofErr w:type="spellStart"/>
      <w:r w:rsidRPr="0061675F">
        <w:rPr>
          <w:rFonts w:ascii="Calibri" w:hAnsi="Calibri" w:cs="Calibri"/>
          <w:b/>
          <w:bCs/>
          <w:sz w:val="24"/>
          <w:szCs w:val="24"/>
        </w:rPr>
        <w:t>FECYT</w:t>
      </w:r>
      <w:proofErr w:type="spellEnd"/>
      <w:r w:rsidRPr="0061675F">
        <w:rPr>
          <w:rFonts w:ascii="Calibri" w:hAnsi="Calibri" w:cs="Calibri"/>
          <w:b/>
          <w:bCs/>
          <w:sz w:val="24"/>
          <w:szCs w:val="24"/>
        </w:rPr>
        <w:t xml:space="preserve"> per a projectes de transferència del coneixement ha concedit una ajuda a una proposta del grup </w:t>
      </w:r>
      <w:proofErr w:type="spellStart"/>
      <w:r w:rsidRPr="0061675F">
        <w:rPr>
          <w:rFonts w:ascii="Calibri" w:hAnsi="Calibri" w:cs="Calibri"/>
          <w:b/>
          <w:bCs/>
          <w:sz w:val="24"/>
          <w:szCs w:val="24"/>
        </w:rPr>
        <w:t>GIAP</w:t>
      </w:r>
      <w:proofErr w:type="spellEnd"/>
      <w:r w:rsidRPr="0061675F">
        <w:rPr>
          <w:rFonts w:ascii="Calibri" w:hAnsi="Calibri" w:cs="Calibri"/>
          <w:b/>
          <w:bCs/>
          <w:sz w:val="24"/>
          <w:szCs w:val="24"/>
        </w:rPr>
        <w:t xml:space="preserve"> de l’ICAC per a treballar amb el paisatge cultural d’alta muntanya a la Vall de Núria.</w:t>
      </w:r>
    </w:p>
    <w:p w14:paraId="0AEBB3FE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El projecte «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.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Transferencia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social,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didáctica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y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mediación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del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patrimonio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en un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paisaje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cultural de alta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montaña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(Valle de Núria,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Pirineos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Orientales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» (FCT-20-17298) ha estat molt ben puntuat (92 sobre 100) i ha assolit la 5a posició entre quasi 200 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lastRenderedPageBreak/>
        <w:t>sol·licituds en la modalitat de foment de la cultura científica, tecnològica i de la innovació.</w:t>
      </w:r>
    </w:p>
    <w:p w14:paraId="0F64D70A" w14:textId="77777777" w:rsidR="0061675F" w:rsidRPr="0061675F" w:rsidRDefault="0061675F" w:rsidP="0061675F">
      <w:pPr>
        <w:pStyle w:val="NormalWeb"/>
        <w:shd w:val="clear" w:color="auto" w:fill="FAECE5"/>
        <w:spacing w:before="240" w:beforeAutospacing="0" w:after="24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El projecte </w:t>
      </w:r>
      <w:proofErr w:type="spellStart"/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 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(FCT-20-17298) es proposa fer arribar a la ciutadania els resultats dels projectes de recerca en arqueologia del paisatge que l’ICAC ha dut a terme des de 2010 a la Vall de Núria (Queralbs, Girona), un espai singular d’alta muntanya pirenaica.</w:t>
      </w:r>
    </w:p>
    <w:p w14:paraId="47F416A3" w14:textId="77777777" w:rsidR="0061675F" w:rsidRDefault="0061675F" w:rsidP="0061675F">
      <w:pPr>
        <w:pStyle w:val="NormalWeb"/>
        <w:shd w:val="clear" w:color="auto" w:fill="FFFFFF"/>
        <w:spacing w:before="240" w:beforeAutospacing="0" w:after="180" w:afterAutospacing="0"/>
        <w:rPr>
          <w:rFonts w:ascii="Noto Serif" w:hAnsi="Noto Serif" w:cs="Noto Serif"/>
          <w:b/>
          <w:bCs/>
          <w:color w:val="D36227"/>
          <w:sz w:val="23"/>
          <w:szCs w:val="23"/>
          <w:lang w:val="ca-ES"/>
        </w:rPr>
      </w:pPr>
    </w:p>
    <w:p w14:paraId="2A9A6437" w14:textId="1E1287E5" w:rsidR="0061675F" w:rsidRPr="0061675F" w:rsidRDefault="0061675F" w:rsidP="0061675F">
      <w:pPr>
        <w:pStyle w:val="NormalWeb"/>
        <w:shd w:val="clear" w:color="auto" w:fill="FFFFFF"/>
        <w:spacing w:before="240" w:beforeAutospacing="0" w:after="180" w:afterAutospacing="0"/>
        <w:rPr>
          <w:rFonts w:ascii="Noto Serif" w:hAnsi="Noto Serif" w:cs="Noto Serif"/>
          <w:b/>
          <w:bCs/>
          <w:color w:val="D36227"/>
          <w:sz w:val="23"/>
          <w:szCs w:val="23"/>
          <w:lang w:val="ca-ES"/>
        </w:rPr>
      </w:pPr>
      <w:proofErr w:type="spellStart"/>
      <w:r w:rsidRPr="0061675F">
        <w:rPr>
          <w:rFonts w:ascii="Noto Serif" w:hAnsi="Noto Serif" w:cs="Noto Serif"/>
          <w:b/>
          <w:bCs/>
          <w:color w:val="D36227"/>
          <w:sz w:val="23"/>
          <w:szCs w:val="23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b/>
          <w:bCs/>
          <w:color w:val="D36227"/>
          <w:sz w:val="23"/>
          <w:szCs w:val="23"/>
          <w:lang w:val="ca-ES"/>
        </w:rPr>
        <w:t xml:space="preserve"> s’executarà entre els mesos de juliol de 2022 i juny de 2023.</w:t>
      </w:r>
    </w:p>
    <w:p w14:paraId="000353B2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La Vall de Núria, al Pirineu Oriental, es situa per sobre la cota de 2.000 m. Limita, al nord, amb la frontera franco-espanyola en la línia de cresta axial, i s’estén a l’est fins el refugi de Coma de Vaca (1.990 m) i el complex de l’Estació de Vall de Núria al sud. El seu paisatge compta amb un gran valor patrimonial i cultural, de llarga trajectòria històrica, amb vestigis d’ocupació i explotació humana que daten des del neolític fins l’època contemporània.</w:t>
      </w:r>
    </w:p>
    <w:p w14:paraId="1AAE929B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La possibilitat de preservar aquest tipus de paisatge altimontà passa per la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difusió i posada en valor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dels seus elements més significatius i, especialment, el patrimoni històric-arqueològic. El reconeixement del valor cultural del paisatge constitueix, a més, una eina per a la gestió dels territoris i contribueix al seu desenvolupament sostenible.</w:t>
      </w:r>
    </w:p>
    <w:p w14:paraId="363B0DF7" w14:textId="77777777" w:rsidR="0061675F" w:rsidRPr="0061675F" w:rsidRDefault="0061675F" w:rsidP="0061675F">
      <w:pPr>
        <w:pStyle w:val="Ttulo5"/>
        <w:shd w:val="clear" w:color="auto" w:fill="FFFFFF"/>
        <w:spacing w:before="360" w:after="180"/>
        <w:rPr>
          <w:rFonts w:ascii="Noto Serif" w:hAnsi="Noto Serif" w:cs="Noto Serif"/>
          <w:color w:val="433030"/>
          <w:sz w:val="24"/>
          <w:szCs w:val="24"/>
        </w:rPr>
      </w:pPr>
      <w:r w:rsidRPr="0061675F">
        <w:rPr>
          <w:rStyle w:val="Textoennegrita"/>
          <w:rFonts w:ascii="Noto Serif" w:hAnsi="Noto Serif" w:cs="Noto Serif"/>
          <w:color w:val="D95016"/>
          <w:sz w:val="24"/>
          <w:szCs w:val="24"/>
        </w:rPr>
        <w:t>El resultat de deu anys de recerca a la Vall de Núria</w:t>
      </w:r>
    </w:p>
    <w:p w14:paraId="1293933D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El </w:t>
      </w:r>
      <w:hyperlink r:id="rId8" w:tgtFrame="_blank" w:history="1">
        <w:r w:rsidRPr="0061675F">
          <w:rPr>
            <w:rStyle w:val="Textoennegrita"/>
            <w:rFonts w:ascii="Noto Serif" w:hAnsi="Noto Serif" w:cs="Noto Serif"/>
            <w:color w:val="9C2439"/>
            <w:sz w:val="22"/>
            <w:szCs w:val="22"/>
            <w:lang w:val="ca-ES"/>
          </w:rPr>
          <w:t>Grup d’Investigació en Arqueologia del Paisatge (</w:t>
        </w:r>
        <w:proofErr w:type="spellStart"/>
        <w:r w:rsidRPr="0061675F">
          <w:rPr>
            <w:rStyle w:val="Textoennegrita"/>
            <w:rFonts w:ascii="Noto Serif" w:hAnsi="Noto Serif" w:cs="Noto Serif"/>
            <w:color w:val="9C2439"/>
            <w:sz w:val="22"/>
            <w:szCs w:val="22"/>
            <w:lang w:val="ca-ES"/>
          </w:rPr>
          <w:t>GIAP</w:t>
        </w:r>
        <w:proofErr w:type="spellEnd"/>
        <w:r w:rsidRPr="0061675F">
          <w:rPr>
            <w:rStyle w:val="Textoennegrita"/>
            <w:rFonts w:ascii="Noto Serif" w:hAnsi="Noto Serif" w:cs="Noto Serif"/>
            <w:color w:val="9C2439"/>
            <w:sz w:val="22"/>
            <w:szCs w:val="22"/>
            <w:lang w:val="ca-ES"/>
          </w:rPr>
          <w:t>)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de l’ICAC porta a terme des de 2010 un projecte de recerca a la zona de la Vall de Núria. Els treballs arqueològics s’han desenvolupat en el marc de diversos projectes finançats pel Ministeri de Ciència i Innovació del Govern d’Espanya (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MICINN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):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Interambar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(CGL2009-12676-C02),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TerAmAr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(HAR2012-39087-C02-02),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InterArPa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(HAR2015-64636-P) i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TransLands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(PGC2018-093734-B-I00), així com del Departament de Cultura de la Generalitat de Catalunya.</w:t>
      </w:r>
    </w:p>
    <w:p w14:paraId="42844681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b/>
          <w:bCs/>
          <w:color w:val="D36227"/>
          <w:sz w:val="22"/>
          <w:szCs w:val="22"/>
          <w:lang w:val="ca-ES"/>
        </w:rPr>
      </w:pPr>
      <w:r w:rsidRPr="0061675F">
        <w:rPr>
          <w:rFonts w:ascii="Noto Serif" w:hAnsi="Noto Serif" w:cs="Noto Serif"/>
          <w:b/>
          <w:bCs/>
          <w:color w:val="D36227"/>
          <w:sz w:val="22"/>
          <w:szCs w:val="22"/>
          <w:lang w:val="ca-ES"/>
        </w:rPr>
        <w:t>Les accions aprovades es centren en l’entorn de la Vall de Núria i tenen per objectiu fomentar l’impacte social dels resultats de la recerca de l’ICAC (</w:t>
      </w:r>
      <w:proofErr w:type="spellStart"/>
      <w:r w:rsidRPr="0061675F">
        <w:rPr>
          <w:rFonts w:ascii="Noto Serif" w:hAnsi="Noto Serif" w:cs="Noto Serif"/>
          <w:b/>
          <w:bCs/>
          <w:color w:val="D36227"/>
          <w:sz w:val="22"/>
          <w:szCs w:val="22"/>
          <w:lang w:val="ca-ES"/>
        </w:rPr>
        <w:t>GIAP</w:t>
      </w:r>
      <w:proofErr w:type="spellEnd"/>
      <w:r w:rsidRPr="0061675F">
        <w:rPr>
          <w:rFonts w:ascii="Noto Serif" w:hAnsi="Noto Serif" w:cs="Noto Serif"/>
          <w:b/>
          <w:bCs/>
          <w:color w:val="D36227"/>
          <w:sz w:val="22"/>
          <w:szCs w:val="22"/>
          <w:lang w:val="ca-ES"/>
        </w:rPr>
        <w:t>) al territori.</w:t>
      </w:r>
    </w:p>
    <w:p w14:paraId="6791974E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Després d’una dècada de treballs arqueològics interdisciplinaris,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 xml:space="preserve">el </w:t>
      </w:r>
      <w:proofErr w:type="spellStart"/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GIAP</w:t>
      </w:r>
      <w:proofErr w:type="spellEnd"/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 xml:space="preserve"> (ICAC) ha documentat a la zona de Vall de Núria un total de 140 estructures, agrupades en 28 jaciments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. Al llarg de diverses campanyes, l’equip ha intervingut en 9 dels jaciments i ha excavat 17 de les estructures. Els projectes han comptat amb la intervenció de múltiples especialistes (de l’arqueologia, la palinologia,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l’arqueozoologia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l’arqueobotànica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l’antracologia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,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l’arqueomorfologia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la topografia…), que han aplicat en la seva tasca una gran innovació tecnològica.</w:t>
      </w:r>
    </w:p>
    <w:p w14:paraId="5766805F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lastRenderedPageBreak/>
        <w:t>Els resultats de la recerca de l’ICAC a la Vall de Núria han permès assolir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un coneixement exhaustiu de l’evolució històrica d’aquest paisatge d’alta muntanya dels Pirineus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dels efectes que hi ha tingut l’acció humana i la seva explotació; així com la caracterització de l’evolució diacrònica de l’ocupació del territori, des de la Prehistòria fins els nostres dies.</w:t>
      </w:r>
    </w:p>
    <w:p w14:paraId="1B2F90F8" w14:textId="77777777" w:rsidR="0061675F" w:rsidRDefault="0061675F" w:rsidP="0061675F">
      <w:r w:rsidRPr="0061675F">
        <w:rPr>
          <w:noProof/>
        </w:rPr>
        <w:drawing>
          <wp:inline distT="0" distB="0" distL="0" distR="0" wp14:anchorId="5D426A93" wp14:editId="42F28BFF">
            <wp:extent cx="5400040" cy="4055110"/>
            <wp:effectExtent l="0" t="0" r="0" b="2540"/>
            <wp:docPr id="6" name="Imagen 6" descr="Personas sentadas en una ro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ersonas sentadas en una ro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5C84" w14:textId="1F1D39BA" w:rsidR="0061675F" w:rsidRPr="0061675F" w:rsidRDefault="0061675F" w:rsidP="0061675F">
      <w:pPr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</w:pPr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 xml:space="preserve">Treballs </w:t>
      </w:r>
      <w:proofErr w:type="spellStart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>geoarqueològics</w:t>
      </w:r>
      <w:proofErr w:type="spellEnd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 xml:space="preserve"> a la cova prehistòrica del Catau de l’Os, al Forat de l’Embut (Queralbs, Ripollès). Foto: ICAC, 2017.</w:t>
      </w:r>
    </w:p>
    <w:p w14:paraId="37851716" w14:textId="77777777" w:rsidR="0061675F" w:rsidRPr="0061675F" w:rsidRDefault="0061675F" w:rsidP="0061675F">
      <w:pPr>
        <w:pStyle w:val="Ttulo5"/>
        <w:shd w:val="clear" w:color="auto" w:fill="FFFFFF"/>
        <w:spacing w:before="360" w:after="180"/>
        <w:rPr>
          <w:rFonts w:ascii="Noto Serif" w:hAnsi="Noto Serif" w:cs="Noto Serif"/>
          <w:color w:val="433030"/>
          <w:sz w:val="24"/>
          <w:szCs w:val="24"/>
        </w:rPr>
      </w:pPr>
      <w:r w:rsidRPr="0061675F">
        <w:rPr>
          <w:rStyle w:val="Textoennegrita"/>
          <w:rFonts w:ascii="Noto Serif" w:hAnsi="Noto Serif" w:cs="Noto Serif"/>
          <w:b w:val="0"/>
          <w:bCs w:val="0"/>
          <w:color w:val="D95016"/>
          <w:sz w:val="24"/>
          <w:szCs w:val="24"/>
        </w:rPr>
        <w:t>Un programa integral de transferència social sobre la Vall de Núria</w:t>
      </w:r>
    </w:p>
    <w:p w14:paraId="07D36663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El projecte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(FCT-20-17298) té per objectiu principal el desenvolupament de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nous recursos didàctics i de transferència del coneixement, de caràcter permanent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que permetin a la ciutadania descobrir les característiques de llarga ocupació humana a la Vall de Núria i aproximar-se a l’arqueologia d’alta muntanya que es duu a terme, des de fa una dècada, a aquest sector del Pirineu.</w:t>
      </w:r>
    </w:p>
    <w:p w14:paraId="540B8AB4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b/>
          <w:bCs/>
          <w:color w:val="D36227"/>
          <w:sz w:val="22"/>
          <w:szCs w:val="22"/>
          <w:lang w:val="ca-ES"/>
        </w:rPr>
      </w:pPr>
      <w:proofErr w:type="spellStart"/>
      <w:r w:rsidRPr="0061675F">
        <w:rPr>
          <w:rFonts w:ascii="Noto Serif" w:hAnsi="Noto Serif" w:cs="Noto Serif"/>
          <w:b/>
          <w:bCs/>
          <w:color w:val="D36227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b/>
          <w:bCs/>
          <w:color w:val="D36227"/>
          <w:sz w:val="22"/>
          <w:szCs w:val="22"/>
          <w:lang w:val="ca-ES"/>
        </w:rPr>
        <w:t xml:space="preserve"> és un projecte pioner en la mediació inclusiva del patrimoni cultural.</w:t>
      </w:r>
    </w:p>
    <w:p w14:paraId="59D4F1B5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Cal destacar que tots els recursos didàctics i divulgatius que es generin incorporaran els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criteris d’accessibilitat universal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, convertint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en un projecte 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lastRenderedPageBreak/>
        <w:t xml:space="preserve">pioner en la mediació inclusiva del patrimoni cultural. D’altra banda, la proposta del projecte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es fonamenta en la participació, la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cocreació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i la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governança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dels agents locals en totes les etapes del projecte.</w:t>
      </w:r>
    </w:p>
    <w:p w14:paraId="5949902F" w14:textId="77777777" w:rsidR="0061675F" w:rsidRPr="0061675F" w:rsidRDefault="0061675F" w:rsidP="0061675F">
      <w:pPr>
        <w:pStyle w:val="NormalWeb"/>
        <w:shd w:val="clear" w:color="auto" w:fill="FAECE5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El projecte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proposa la creació d’un conjunt de quatre accions didàctiques que explicaran i garantiran l’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impacte social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dels resultats del projecte, i que estan adreçades a la ciutadania i al territori.</w:t>
      </w:r>
    </w:p>
    <w:p w14:paraId="079BFAEA" w14:textId="77777777" w:rsid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Style w:val="Textoennegrita"/>
          <w:rFonts w:ascii="Noto Serif" w:hAnsi="Noto Serif" w:cs="Noto Serif"/>
          <w:color w:val="D95016"/>
          <w:sz w:val="27"/>
          <w:szCs w:val="27"/>
          <w:lang w:val="ca-ES"/>
        </w:rPr>
      </w:pPr>
    </w:p>
    <w:p w14:paraId="762D3655" w14:textId="3F3C4E7E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 xml:space="preserve">1. Espai virtual </w:t>
      </w:r>
      <w:proofErr w:type="spellStart"/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>ArqueoPirenaia</w:t>
      </w:r>
      <w:proofErr w:type="spellEnd"/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 xml:space="preserve"> en dispositius mòbils</w:t>
      </w:r>
    </w:p>
    <w:p w14:paraId="3F8A6439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Creació d’una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web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 dedicada a la mediació científica, arqueològica i patrimonial de la Vall de Núria. La web permetrà divulgar entre la ciutadania els resultats científics de la recerca duta a terme pel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GIAP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(ICAC) els últims deu anys i actualitzarà els recursos existents (com les 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begin"/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instrText xml:space="preserve"> HYPERLINK "https://icac.cat/actualitat/noticies/2019/arqueorutes-itineraris-dinteres-arqueologic-un-exemple-de-transferencia-del-coneixement/" \t "_blank" </w:instrTex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separate"/>
      </w:r>
      <w:r w:rsidRPr="0061675F">
        <w:rPr>
          <w:rStyle w:val="Textoennegrita"/>
          <w:rFonts w:ascii="Noto Serif" w:hAnsi="Noto Serif" w:cs="Noto Serif"/>
          <w:color w:val="9C2439"/>
          <w:sz w:val="22"/>
          <w:szCs w:val="22"/>
          <w:lang w:val="ca-ES"/>
        </w:rPr>
        <w:t>Arqueorutes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end"/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) per tal que resultin més dinàmics i accessibles.</w:t>
      </w:r>
    </w:p>
    <w:p w14:paraId="2A745EB4" w14:textId="77777777" w:rsid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</w:pPr>
    </w:p>
    <w:p w14:paraId="3B33B699" w14:textId="0395F212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 xml:space="preserve">2. Espai  itinerant «Paisatges transhumants: desxifrant la investigació arqueològica i el patrimoni a les capçaleres dels rius Ter i </w:t>
      </w:r>
      <w:proofErr w:type="spellStart"/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>Feser</w:t>
      </w:r>
      <w:proofErr w:type="spellEnd"/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 xml:space="preserve"> (Vall de Núria i Coma de Vaca)»</w:t>
      </w:r>
    </w:p>
    <w:p w14:paraId="49F0E7E5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Es crearà una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exposició itinerant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vinculada al </w:t>
      </w:r>
      <w:hyperlink r:id="rId10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Centre d’Interpretació de l’Estació Vall de Núria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, que expliqui els resultats dels projectes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d’I+D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desenvolupats per l’ICAC en aquest sector del Pirineu. La itinerància portarà l’exposició per diversos punts del territori i podrà beneficiar així altres equipaments culturals locals, com el </w:t>
      </w:r>
      <w:hyperlink r:id="rId11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Museu Etnogràfic de Ripoll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el </w:t>
      </w:r>
      <w:hyperlink r:id="rId12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Parc Natural de les Capçaleres del Ter i Freser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o els centres cívics i culturals dels municipis implicats (Queralbs i Ribes de Freser).</w:t>
      </w:r>
    </w:p>
    <w:p w14:paraId="39FD0DA4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Un aspecte a destacar d’aquest acció és que l’exposició incorporarà </w:t>
      </w:r>
      <w:hyperlink r:id="rId13" w:history="1">
        <w:r w:rsidRPr="0061675F">
          <w:rPr>
            <w:rStyle w:val="Hipervnculo"/>
            <w:rFonts w:ascii="Noto Serif" w:hAnsi="Noto Serif" w:cs="Noto Serif"/>
            <w:b/>
            <w:bCs/>
            <w:color w:val="9C2439"/>
            <w:sz w:val="22"/>
            <w:szCs w:val="22"/>
            <w:lang w:val="ca-ES"/>
          </w:rPr>
          <w:t xml:space="preserve">codis </w:t>
        </w:r>
        <w:proofErr w:type="spellStart"/>
        <w:r w:rsidRPr="0061675F">
          <w:rPr>
            <w:rStyle w:val="Hipervnculo"/>
            <w:rFonts w:ascii="Noto Serif" w:hAnsi="Noto Serif" w:cs="Noto Serif"/>
            <w:b/>
            <w:bCs/>
            <w:color w:val="9C2439"/>
            <w:sz w:val="22"/>
            <w:szCs w:val="22"/>
            <w:lang w:val="ca-ES"/>
          </w:rPr>
          <w:t>Navilens</w:t>
        </w:r>
        <w:proofErr w:type="spellEnd"/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per a facilitar l’accés als continguts a persones amb dèficit sensorial o cognitiu. La </w:t>
      </w:r>
      <w:hyperlink r:id="rId14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 xml:space="preserve">tecnologia </w:t>
        </w:r>
        <w:proofErr w:type="spellStart"/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Navilens</w:t>
        </w:r>
        <w:proofErr w:type="spellEnd"/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està revolucionant l’accessibilitat i la inclusió universal.</w:t>
      </w:r>
    </w:p>
    <w:p w14:paraId="0A6FFD62" w14:textId="77777777" w:rsidR="0061675F" w:rsidRDefault="0061675F" w:rsidP="0061675F">
      <w:pPr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</w:pPr>
    </w:p>
    <w:p w14:paraId="28122570" w14:textId="77777777" w:rsidR="0061675F" w:rsidRDefault="0061675F" w:rsidP="0061675F">
      <w:pPr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</w:pPr>
    </w:p>
    <w:p w14:paraId="501C83C0" w14:textId="77777777" w:rsidR="0061675F" w:rsidRDefault="0061675F" w:rsidP="0061675F">
      <w:pPr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</w:pPr>
      <w:r w:rsidRPr="0061675F">
        <w:rPr>
          <w:noProof/>
        </w:rPr>
        <w:lastRenderedPageBreak/>
        <w:drawing>
          <wp:inline distT="0" distB="0" distL="0" distR="0" wp14:anchorId="57FF7F0A" wp14:editId="456CD6D2">
            <wp:extent cx="5400040" cy="3036570"/>
            <wp:effectExtent l="0" t="0" r="0" b="0"/>
            <wp:docPr id="5" name="Imagen 5" descr="Persona parada junto a una cerca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Persona parada junto a una cerca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1110" w14:textId="5B330A3C" w:rsidR="0061675F" w:rsidRPr="0061675F" w:rsidRDefault="0061675F" w:rsidP="0061675F">
      <w:pPr>
        <w:rPr>
          <w:rFonts w:ascii="Times New Roman" w:hAnsi="Times New Roman" w:cs="Times New Roman"/>
          <w:sz w:val="24"/>
          <w:szCs w:val="24"/>
        </w:rPr>
      </w:pPr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 xml:space="preserve">Un dels exemples de codis </w:t>
      </w:r>
      <w:proofErr w:type="spellStart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>Navilens</w:t>
      </w:r>
      <w:proofErr w:type="spellEnd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 xml:space="preserve"> que l’empresa mostra a la seva web. Imatge: </w:t>
      </w:r>
      <w:proofErr w:type="spellStart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>Navilens</w:t>
      </w:r>
      <w:proofErr w:type="spellEnd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 xml:space="preserve"> (galeria multimèdia).</w:t>
      </w:r>
    </w:p>
    <w:p w14:paraId="0FF86D67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7"/>
          <w:szCs w:val="27"/>
          <w:lang w:val="ca-ES"/>
        </w:rPr>
      </w:pPr>
      <w:r w:rsidRPr="0061675F">
        <w:rPr>
          <w:rFonts w:ascii="Noto Serif" w:hAnsi="Noto Serif" w:cs="Noto Serif"/>
          <w:color w:val="545454"/>
          <w:sz w:val="27"/>
          <w:szCs w:val="27"/>
          <w:lang w:val="ca-ES"/>
        </w:rPr>
        <w:t> </w:t>
      </w:r>
    </w:p>
    <w:p w14:paraId="4889D30C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>3. Maleta didàctica sobre l’arqueologia d’alta muntanya al Pirineu</w:t>
      </w:r>
    </w:p>
    <w:p w14:paraId="6A7249E6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Aquesta acció proposa el desenvolupament d’una maleta didàctica, especialment pensada per a la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manipulació tàctil i l’experimentació pedagògica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a partir de la qual es descobreixin les principals característiques de l’arqueologia d’alta muntanya i l’acció científica que desenvolupa aquesta disciplina al territori. La maleta didàctica s’adreça al públic familiar, així como a alumnat d’educació primària i primer cicle de secundària.</w:t>
      </w:r>
    </w:p>
    <w:p w14:paraId="3D89F4E4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Style w:val="Textoennegrita"/>
          <w:rFonts w:ascii="Noto Serif" w:hAnsi="Noto Serif" w:cs="Noto Serif"/>
          <w:color w:val="D95016"/>
          <w:sz w:val="22"/>
          <w:szCs w:val="22"/>
          <w:lang w:val="ca-ES"/>
        </w:rPr>
        <w:t>4. Circuit patrimonial físic i virtual per a la visita i divulgació dels jaciments de la Vall de Núria</w:t>
      </w:r>
    </w:p>
    <w:p w14:paraId="70849DBA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La creació d’un circuit permanent de visita a les cabanes de pastor i espais d’explotació pecuària millor conservats en l’entorn pròxim a l’Estació. Serà un circuit de baixa dificultat que permeti donar a conèixer al públic general com són les estructures característiques de l’ocupació humana en els paratges d’alta muntanya del Pirineu.</w:t>
      </w:r>
    </w:p>
    <w:p w14:paraId="2AA3CCAD" w14:textId="77777777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El disseny del circuit inclou la senyalització permanent, mitjançant </w:t>
      </w:r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 xml:space="preserve">panells </w:t>
      </w:r>
      <w:proofErr w:type="spellStart"/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hàptics</w:t>
      </w:r>
      <w:proofErr w:type="spellEnd"/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 xml:space="preserve"> que incorporaran també codis </w:t>
      </w:r>
      <w:proofErr w:type="spellStart"/>
      <w:r w:rsidRPr="0061675F">
        <w:rPr>
          <w:rStyle w:val="Textoennegrita"/>
          <w:rFonts w:ascii="Noto Serif" w:hAnsi="Noto Serif" w:cs="Noto Serif"/>
          <w:color w:val="545454"/>
          <w:sz w:val="22"/>
          <w:szCs w:val="22"/>
          <w:lang w:val="ca-ES"/>
        </w:rPr>
        <w:t>Navilens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. L’inici del circuit es situarà a l’actual Centre d’interpretació de la Vall de Núria, en la mateixa Estació. En paral·lel, el circuit serà visitable de manera virtual des de la web del projecte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i, també, des de l’espai que l’ICAC té a la plataforma internacional 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begin"/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instrText xml:space="preserve"> HYPERLINK "https://sketchfab.com/ICAC/models" \t "_blank" </w:instrTex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separate"/>
      </w:r>
      <w:r w:rsidRPr="0061675F">
        <w:rPr>
          <w:rStyle w:val="Hipervnculo"/>
          <w:rFonts w:ascii="Noto Serif" w:hAnsi="Noto Serif" w:cs="Noto Serif"/>
          <w:color w:val="9C2439"/>
          <w:sz w:val="22"/>
          <w:szCs w:val="22"/>
          <w:lang w:val="ca-ES"/>
        </w:rPr>
        <w:t>Skecthfab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end"/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on es podran consultar els models 3D de les cabanes de pastor.</w:t>
      </w:r>
    </w:p>
    <w:p w14:paraId="68EFD619" w14:textId="77777777" w:rsidR="0061675F" w:rsidRPr="0061675F" w:rsidRDefault="0061675F" w:rsidP="0061675F">
      <w:pPr>
        <w:pStyle w:val="NormalWeb"/>
        <w:shd w:val="clear" w:color="auto" w:fill="FAECE5"/>
        <w:spacing w:before="240" w:beforeAutospacing="0" w:after="24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lastRenderedPageBreak/>
        <w:t xml:space="preserve">Per a dur a terme el projecte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(FCT-20-17298) l’ICAC comptarà amb la implicació i col·laboració de l’</w:t>
      </w:r>
      <w:hyperlink r:id="rId16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Estació Vall de Núria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el </w:t>
      </w:r>
      <w:hyperlink r:id="rId17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Parc Natural de les Capçaleres del Ter i Freser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 el </w:t>
      </w:r>
      <w:hyperlink r:id="rId18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Museu Etnogràfic de Ripoll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i l’</w:t>
      </w:r>
      <w:hyperlink r:id="rId19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Ajuntament de Queralbs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.</w:t>
      </w:r>
    </w:p>
    <w:p w14:paraId="6632A07D" w14:textId="77777777" w:rsid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</w:p>
    <w:p w14:paraId="53F56156" w14:textId="57AEC118" w:rsidR="0061675F" w:rsidRPr="0061675F" w:rsidRDefault="0061675F" w:rsidP="0061675F">
      <w:pPr>
        <w:pStyle w:val="NormalWeb"/>
        <w:shd w:val="clear" w:color="auto" w:fill="FFFFFF"/>
        <w:spacing w:before="0" w:beforeAutospacing="0" w:after="180" w:afterAutospacing="0"/>
        <w:rPr>
          <w:rFonts w:ascii="Noto Serif" w:hAnsi="Noto Serif" w:cs="Noto Serif"/>
          <w:color w:val="545454"/>
          <w:sz w:val="22"/>
          <w:szCs w:val="22"/>
          <w:lang w:val="ca-ES"/>
        </w:rPr>
      </w:pP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Els membres del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GIAP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que formen part del projecte 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ArqueoPirenaia</w:t>
      </w:r>
      <w:proofErr w:type="spellEnd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 xml:space="preserve"> són </w:t>
      </w:r>
      <w:hyperlink r:id="rId20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Josep Maria Palet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 </w:t>
      </w:r>
      <w:hyperlink r:id="rId21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Marta Flórez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 </w:t>
      </w:r>
      <w:hyperlink r:id="rId22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 xml:space="preserve">Lídia </w:t>
        </w:r>
        <w:proofErr w:type="spellStart"/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Colominas</w:t>
        </w:r>
        <w:proofErr w:type="spellEnd"/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 </w:t>
      </w:r>
      <w:hyperlink r:id="rId23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Arnau Carbonell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 </w:t>
      </w:r>
      <w:hyperlink r:id="rId24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Valentina Pescini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 </w:t>
      </w:r>
      <w:hyperlink r:id="rId25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Abel Gallego</w:t>
        </w:r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, </w:t>
      </w:r>
      <w:hyperlink r:id="rId26" w:tgtFrame="_blank" w:history="1"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 xml:space="preserve">Paloma </w:t>
        </w:r>
        <w:proofErr w:type="spellStart"/>
        <w:r w:rsidRPr="0061675F">
          <w:rPr>
            <w:rStyle w:val="Hipervnculo"/>
            <w:rFonts w:ascii="Noto Serif" w:hAnsi="Noto Serif" w:cs="Noto Serif"/>
            <w:color w:val="9C2439"/>
            <w:sz w:val="22"/>
            <w:szCs w:val="22"/>
            <w:lang w:val="ca-ES"/>
          </w:rPr>
          <w:t>Aliende</w:t>
        </w:r>
        <w:proofErr w:type="spellEnd"/>
      </w:hyperlink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 i </w:t>
      </w:r>
      <w:proofErr w:type="spellStart"/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begin"/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instrText xml:space="preserve"> HYPERLINK "https://icac.cat/qui-som/personal/mjortegaperez/" \t "_blank" </w:instrTex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separate"/>
      </w:r>
      <w:r w:rsidRPr="0061675F">
        <w:rPr>
          <w:rStyle w:val="Hipervnculo"/>
          <w:rFonts w:ascii="Noto Serif" w:hAnsi="Noto Serif" w:cs="Noto Serif"/>
          <w:color w:val="9C2439"/>
          <w:sz w:val="22"/>
          <w:szCs w:val="22"/>
          <w:lang w:val="ca-ES"/>
        </w:rPr>
        <w:t>Txusa</w:t>
      </w:r>
      <w:proofErr w:type="spellEnd"/>
      <w:r w:rsidRPr="0061675F">
        <w:rPr>
          <w:rStyle w:val="Hipervnculo"/>
          <w:rFonts w:ascii="Noto Serif" w:hAnsi="Noto Serif" w:cs="Noto Serif"/>
          <w:color w:val="9C2439"/>
          <w:sz w:val="22"/>
          <w:szCs w:val="22"/>
          <w:lang w:val="ca-ES"/>
        </w:rPr>
        <w:t xml:space="preserve"> Ortega</w:t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fldChar w:fldCharType="end"/>
      </w:r>
      <w:r w:rsidRPr="0061675F">
        <w:rPr>
          <w:rFonts w:ascii="Noto Serif" w:hAnsi="Noto Serif" w:cs="Noto Serif"/>
          <w:color w:val="545454"/>
          <w:sz w:val="22"/>
          <w:szCs w:val="22"/>
          <w:lang w:val="ca-ES"/>
        </w:rPr>
        <w:t>.</w:t>
      </w:r>
    </w:p>
    <w:p w14:paraId="7EA386C4" w14:textId="77777777" w:rsidR="0061675F" w:rsidRDefault="0061675F" w:rsidP="0061675F">
      <w:pPr>
        <w:snapToGrid w:val="0"/>
        <w:spacing w:before="120" w:after="120" w:line="288" w:lineRule="auto"/>
        <w:jc w:val="both"/>
      </w:pPr>
      <w:r w:rsidRPr="0061675F">
        <w:rPr>
          <w:noProof/>
        </w:rPr>
        <w:drawing>
          <wp:inline distT="0" distB="0" distL="0" distR="0" wp14:anchorId="7FB98336" wp14:editId="062A659C">
            <wp:extent cx="5400040" cy="4053840"/>
            <wp:effectExtent l="0" t="0" r="0" b="3810"/>
            <wp:docPr id="4" name="Imagen 4" descr="Grupo de personas en una monta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upo de personas en una montañ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5CF3" w14:textId="3F0003EE" w:rsidR="0061675F" w:rsidRPr="0061675F" w:rsidRDefault="0061675F" w:rsidP="0061675F">
      <w:pPr>
        <w:snapToGrid w:val="0"/>
        <w:spacing w:before="120" w:after="120" w:line="288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 xml:space="preserve">Josep Maria Palet (esquerra) durant una de les </w:t>
      </w:r>
      <w:proofErr w:type="spellStart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>Arqueorutes</w:t>
      </w:r>
      <w:proofErr w:type="spellEnd"/>
      <w:r w:rsidRPr="0061675F">
        <w:rPr>
          <w:rFonts w:ascii="Noto Serif" w:eastAsiaTheme="majorEastAsia" w:hAnsi="Noto Serif" w:cs="Noto Serif"/>
          <w:color w:val="808080"/>
          <w:sz w:val="20"/>
          <w:szCs w:val="20"/>
          <w:shd w:val="clear" w:color="auto" w:fill="FFFFFF"/>
        </w:rPr>
        <w:t>, davant la cova prehistòrica del Catau de l’Os, al Forat de l’Embut (Queralbs, Ripollès). Foto: ICAC, 2021.</w:t>
      </w:r>
    </w:p>
    <w:p w14:paraId="26E6803F" w14:textId="4C8A96B5" w:rsidR="001F30E0" w:rsidRDefault="001F30E0" w:rsidP="00081C4C">
      <w:pPr>
        <w:snapToGrid w:val="0"/>
        <w:spacing w:before="120" w:after="120" w:line="288" w:lineRule="auto"/>
        <w:jc w:val="both"/>
        <w:rPr>
          <w:rFonts w:ascii="Calibri" w:hAnsi="Calibri" w:cs="Calibri"/>
        </w:rPr>
      </w:pPr>
    </w:p>
    <w:p w14:paraId="7BC471F8" w14:textId="77777777" w:rsidR="00AE0E11" w:rsidRPr="0061675F" w:rsidRDefault="00AE0E11" w:rsidP="00081C4C">
      <w:pPr>
        <w:snapToGrid w:val="0"/>
        <w:spacing w:before="120" w:after="120" w:line="288" w:lineRule="auto"/>
        <w:jc w:val="both"/>
        <w:rPr>
          <w:rFonts w:ascii="Calibri" w:hAnsi="Calibri" w:cs="Calibri"/>
        </w:rPr>
      </w:pPr>
    </w:p>
    <w:p w14:paraId="2C9F5CF1" w14:textId="77777777" w:rsidR="00C45AC9" w:rsidRPr="0061675F" w:rsidRDefault="00C45AC9" w:rsidP="00B47395">
      <w:pPr>
        <w:pStyle w:val="paragraph"/>
        <w:shd w:val="clear" w:color="auto" w:fill="FAECE5"/>
        <w:spacing w:before="120" w:beforeAutospacing="0" w:after="120" w:afterAutospacing="0" w:line="276" w:lineRule="auto"/>
        <w:textAlignment w:val="baseline"/>
        <w:rPr>
          <w:rStyle w:val="normaltextrun"/>
          <w:rFonts w:asciiTheme="minorHAnsi" w:hAnsiTheme="minorHAnsi" w:cstheme="minorHAnsi"/>
          <w:color w:val="545454"/>
          <w:sz w:val="4"/>
          <w:szCs w:val="4"/>
        </w:rPr>
      </w:pPr>
    </w:p>
    <w:p w14:paraId="4289DF2F" w14:textId="6EA43558" w:rsidR="00B47395" w:rsidRPr="0061675F" w:rsidRDefault="00B47395" w:rsidP="00B47395">
      <w:pPr>
        <w:pStyle w:val="paragraph"/>
        <w:shd w:val="clear" w:color="auto" w:fill="FAECE5"/>
        <w:spacing w:before="120" w:beforeAutospacing="0" w:after="120" w:afterAutospacing="0" w:line="276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61675F">
        <w:rPr>
          <w:rStyle w:val="normaltextrun"/>
          <w:rFonts w:asciiTheme="minorHAnsi" w:hAnsiTheme="minorHAnsi" w:cstheme="minorHAnsi"/>
          <w:color w:val="545454"/>
          <w:sz w:val="22"/>
          <w:szCs w:val="22"/>
        </w:rPr>
        <w:t>L’</w:t>
      </w:r>
      <w:hyperlink r:id="rId28" w:history="1">
        <w:r w:rsidRPr="0061675F">
          <w:rPr>
            <w:rStyle w:val="Hipervnculo"/>
            <w:rFonts w:asciiTheme="minorHAnsi" w:hAnsiTheme="minorHAnsi" w:cstheme="minorHAnsi"/>
            <w:sz w:val="22"/>
            <w:szCs w:val="22"/>
          </w:rPr>
          <w:t>Institut Català d’Arqueologia Clàssica</w:t>
        </w:r>
      </w:hyperlink>
      <w:r w:rsidRPr="0061675F">
        <w:rPr>
          <w:rStyle w:val="normaltextrun"/>
          <w:rFonts w:asciiTheme="minorHAnsi" w:hAnsiTheme="minorHAnsi" w:cstheme="minorHAnsi"/>
          <w:color w:val="545454"/>
          <w:sz w:val="22"/>
          <w:szCs w:val="22"/>
        </w:rPr>
        <w:t xml:space="preserve"> (ICAC) és un </w:t>
      </w:r>
      <w:r w:rsidRPr="0061675F">
        <w:rPr>
          <w:rStyle w:val="normaltextrun"/>
          <w:rFonts w:asciiTheme="minorHAnsi" w:hAnsiTheme="minorHAnsi" w:cstheme="minorHAnsi"/>
          <w:b/>
          <w:bCs/>
          <w:color w:val="545454"/>
          <w:sz w:val="22"/>
          <w:szCs w:val="22"/>
        </w:rPr>
        <w:t>centre CERCA</w:t>
      </w:r>
      <w:r w:rsidRPr="0061675F">
        <w:rPr>
          <w:rStyle w:val="normaltextrun"/>
          <w:rFonts w:asciiTheme="minorHAnsi" w:hAnsiTheme="minorHAnsi" w:cstheme="minorHAnsi"/>
          <w:color w:val="545454"/>
          <w:sz w:val="22"/>
          <w:szCs w:val="22"/>
        </w:rPr>
        <w:t xml:space="preserve"> creat com a consorci el 2003 per la Generalitat de Catalunya i la Universitat Rovira i Virgili. Té la seu a Tarragona, ciutat reconeguda com a Patrimoni Mundial per la UNESCO l’any 2000, i està especialitzat en la recerca i formació avançada en arqueologia clàssica.</w:t>
      </w:r>
      <w:r w:rsidRPr="0061675F">
        <w:rPr>
          <w:rStyle w:val="eop"/>
          <w:rFonts w:asciiTheme="minorHAnsi" w:hAnsiTheme="minorHAnsi" w:cstheme="minorHAnsi"/>
          <w:color w:val="545454"/>
          <w:sz w:val="22"/>
          <w:szCs w:val="22"/>
        </w:rPr>
        <w:t> </w:t>
      </w:r>
    </w:p>
    <w:p w14:paraId="3E43F51A" w14:textId="77777777" w:rsidR="00B47395" w:rsidRPr="0061675F" w:rsidRDefault="00B47395" w:rsidP="00B47395">
      <w:pPr>
        <w:pStyle w:val="paragraph"/>
        <w:shd w:val="clear" w:color="auto" w:fill="FAECE5"/>
        <w:spacing w:before="120" w:beforeAutospacing="0" w:after="120" w:afterAutospacing="0" w:line="276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r w:rsidRPr="0061675F">
        <w:rPr>
          <w:rStyle w:val="normaltextrun"/>
          <w:rFonts w:asciiTheme="minorHAnsi" w:hAnsiTheme="minorHAnsi" w:cstheme="minorHAnsi"/>
          <w:color w:val="545454"/>
          <w:sz w:val="22"/>
          <w:szCs w:val="22"/>
        </w:rPr>
        <w:t>Més informació al web </w:t>
      </w:r>
      <w:hyperlink r:id="rId29" w:tgtFrame="_blank" w:history="1">
        <w:r w:rsidRPr="0061675F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www.icac.cat</w:t>
        </w:r>
      </w:hyperlink>
      <w:r w:rsidRPr="0061675F">
        <w:rPr>
          <w:rStyle w:val="eop"/>
          <w:rFonts w:asciiTheme="minorHAnsi" w:hAnsiTheme="minorHAnsi" w:cstheme="minorBidi"/>
          <w:color w:val="545454"/>
          <w:sz w:val="20"/>
          <w:szCs w:val="20"/>
        </w:rPr>
        <w:t> </w:t>
      </w:r>
    </w:p>
    <w:p w14:paraId="7D04B6DB" w14:textId="77777777" w:rsidR="00B47395" w:rsidRPr="0061675F" w:rsidRDefault="00B47395" w:rsidP="00B4739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70C0"/>
        </w:rPr>
      </w:pPr>
    </w:p>
    <w:p w14:paraId="3773206E" w14:textId="455C325B" w:rsidR="00FF567B" w:rsidRPr="0061675F" w:rsidRDefault="00FF567B" w:rsidP="00FF567B">
      <w:pPr>
        <w:pStyle w:val="paragraph"/>
        <w:spacing w:before="0" w:beforeAutospacing="0" w:after="240" w:afterAutospacing="0"/>
        <w:jc w:val="both"/>
        <w:textAlignment w:val="baseline"/>
        <w:rPr>
          <w:rStyle w:val="eop"/>
          <w:rFonts w:ascii="Calibri" w:hAnsi="Calibri" w:cs="Calibri"/>
          <w:color w:val="0070C0"/>
          <w:sz w:val="28"/>
          <w:szCs w:val="28"/>
        </w:rPr>
      </w:pPr>
      <w:r w:rsidRPr="0061675F">
        <w:rPr>
          <w:rStyle w:val="normaltextrun"/>
          <w:rFonts w:ascii="Calibri" w:hAnsi="Calibri" w:cs="Calibri"/>
          <w:b/>
          <w:bCs/>
          <w:color w:val="0070C0"/>
          <w:sz w:val="28"/>
          <w:szCs w:val="28"/>
        </w:rPr>
        <w:t>Per a més informació:</w:t>
      </w:r>
    </w:p>
    <w:p w14:paraId="56AFE191" w14:textId="77777777" w:rsidR="00FF567B" w:rsidRPr="0061675F" w:rsidRDefault="00FF567B" w:rsidP="00FF56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61675F">
        <w:rPr>
          <w:rStyle w:val="normaltextrun"/>
          <w:rFonts w:asciiTheme="minorHAnsi" w:hAnsiTheme="minorHAnsi" w:cstheme="minorBidi"/>
          <w:b/>
          <w:bCs/>
          <w:color w:val="1F3763"/>
          <w:sz w:val="22"/>
          <w:szCs w:val="22"/>
          <w:shd w:val="clear" w:color="auto" w:fill="FFFFFF"/>
        </w:rPr>
        <w:t>ICAC Comunicació (Maura Lerga): </w:t>
      </w:r>
      <w:r w:rsidRPr="0061675F">
        <w:rPr>
          <w:rStyle w:val="normaltextrun"/>
          <w:rFonts w:asciiTheme="minorHAnsi" w:hAnsiTheme="minorHAnsi" w:cstheme="minorBidi"/>
          <w:sz w:val="22"/>
          <w:szCs w:val="22"/>
        </w:rPr>
        <w:t>680.619.185 (</w:t>
      </w:r>
      <w:hyperlink r:id="rId30" w:history="1">
        <w:r w:rsidRPr="0061675F">
          <w:rPr>
            <w:rStyle w:val="Hipervnculo"/>
            <w:rFonts w:asciiTheme="minorHAnsi" w:hAnsiTheme="minorHAnsi" w:cstheme="minorBidi"/>
            <w:sz w:val="22"/>
            <w:szCs w:val="22"/>
          </w:rPr>
          <w:t>comunicacio@icac.cat</w:t>
        </w:r>
      </w:hyperlink>
      <w:r w:rsidRPr="0061675F">
        <w:rPr>
          <w:rStyle w:val="normaltextrun"/>
          <w:rFonts w:asciiTheme="minorHAnsi" w:hAnsiTheme="minorHAnsi" w:cstheme="minorBidi"/>
          <w:sz w:val="22"/>
          <w:szCs w:val="22"/>
        </w:rPr>
        <w:t xml:space="preserve">) / </w:t>
      </w:r>
      <w:hyperlink r:id="rId31" w:history="1">
        <w:r w:rsidRPr="0061675F">
          <w:rPr>
            <w:rStyle w:val="Hipervnculo"/>
            <w:rFonts w:asciiTheme="minorHAnsi" w:hAnsiTheme="minorHAnsi" w:cstheme="minorHAnsi"/>
            <w:b/>
            <w:bCs/>
            <w:sz w:val="22"/>
            <w:szCs w:val="22"/>
          </w:rPr>
          <w:t>@ICAC_cat</w:t>
        </w:r>
      </w:hyperlink>
    </w:p>
    <w:p w14:paraId="2A24DBE6" w14:textId="69838030" w:rsidR="006F0453" w:rsidRPr="0061675F" w:rsidRDefault="00C45AC9" w:rsidP="00081C4C">
      <w:pPr>
        <w:snapToGrid w:val="0"/>
        <w:spacing w:before="120" w:after="120" w:line="288" w:lineRule="auto"/>
        <w:jc w:val="both"/>
      </w:pPr>
      <w:r w:rsidRPr="0061675F">
        <w:rPr>
          <w:rStyle w:val="normaltextrun"/>
          <w:b/>
          <w:bCs/>
          <w:color w:val="1F3763"/>
          <w:shd w:val="clear" w:color="auto" w:fill="FFFFFF"/>
        </w:rPr>
        <w:t>Investigador</w:t>
      </w:r>
      <w:r w:rsidR="00AE0E11">
        <w:rPr>
          <w:rStyle w:val="normaltextrun"/>
          <w:b/>
          <w:bCs/>
          <w:color w:val="1F3763"/>
          <w:shd w:val="clear" w:color="auto" w:fill="FFFFFF"/>
        </w:rPr>
        <w:t>s</w:t>
      </w:r>
      <w:r w:rsidRPr="0061675F">
        <w:rPr>
          <w:rStyle w:val="normaltextrun"/>
          <w:b/>
          <w:bCs/>
          <w:color w:val="1F3763"/>
          <w:shd w:val="clear" w:color="auto" w:fill="FFFFFF"/>
        </w:rPr>
        <w:t xml:space="preserve"> de referència del projecte</w:t>
      </w:r>
      <w:r w:rsidR="00FF567B" w:rsidRPr="0061675F">
        <w:rPr>
          <w:rStyle w:val="normaltextrun"/>
          <w:b/>
          <w:bCs/>
          <w:color w:val="1F3763"/>
          <w:shd w:val="clear" w:color="auto" w:fill="FFFFFF"/>
        </w:rPr>
        <w:t xml:space="preserve">: </w:t>
      </w:r>
      <w:hyperlink r:id="rId32" w:history="1">
        <w:r w:rsidR="00AE0E11" w:rsidRPr="00262500">
          <w:rPr>
            <w:rStyle w:val="Hipervnculo"/>
          </w:rPr>
          <w:t>jpalet@icac.cat</w:t>
        </w:r>
      </w:hyperlink>
    </w:p>
    <w:p w14:paraId="6FD27468" w14:textId="77777777" w:rsidR="00910A11" w:rsidRPr="0061675F" w:rsidRDefault="00910A11" w:rsidP="00081C4C">
      <w:pPr>
        <w:snapToGrid w:val="0"/>
        <w:spacing w:before="120" w:after="120" w:line="288" w:lineRule="auto"/>
        <w:jc w:val="both"/>
        <w:rPr>
          <w:rFonts w:ascii="Calibri" w:hAnsi="Calibri" w:cs="Calibri"/>
        </w:rPr>
      </w:pPr>
    </w:p>
    <w:sectPr w:rsidR="00910A11" w:rsidRPr="0061675F" w:rsidSect="0061675F">
      <w:headerReference w:type="default" r:id="rId33"/>
      <w:footerReference w:type="default" r:id="rId34"/>
      <w:pgSz w:w="11906" w:h="16838"/>
      <w:pgMar w:top="2127" w:right="1274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3309D" w14:textId="77777777" w:rsidR="00892AF7" w:rsidRDefault="00892AF7" w:rsidP="00081C4C">
      <w:pPr>
        <w:spacing w:after="0" w:line="240" w:lineRule="auto"/>
      </w:pPr>
      <w:r>
        <w:separator/>
      </w:r>
    </w:p>
  </w:endnote>
  <w:endnote w:type="continuationSeparator" w:id="0">
    <w:p w14:paraId="3B5AE58B" w14:textId="77777777" w:rsidR="00892AF7" w:rsidRDefault="00892AF7" w:rsidP="0008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CB3F" w14:textId="0484C214" w:rsidR="00617C2E" w:rsidRPr="00617C2E" w:rsidRDefault="00617C2E" w:rsidP="00617C2E">
    <w:pPr>
      <w:pStyle w:val="Piedepgina"/>
      <w:jc w:val="center"/>
      <w:rPr>
        <w:rFonts w:cs="Arial"/>
        <w:sz w:val="12"/>
        <w:szCs w:val="12"/>
      </w:rPr>
    </w:pPr>
    <w:r>
      <w:rPr>
        <w:noProof/>
        <w:sz w:val="16"/>
        <w:szCs w:val="16"/>
        <w:lang w:eastAsia="ca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9025CE" wp14:editId="6F43814B">
              <wp:simplePos x="0" y="0"/>
              <wp:positionH relativeFrom="margin">
                <wp:posOffset>-3810</wp:posOffset>
              </wp:positionH>
              <wp:positionV relativeFrom="paragraph">
                <wp:posOffset>-72391</wp:posOffset>
              </wp:positionV>
              <wp:extent cx="5391150" cy="14605"/>
              <wp:effectExtent l="0" t="0" r="19050" b="2349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91150" cy="146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3ACAB1" id="Line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3pt,-5.7pt" to="424.2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">
              <w10:wrap anchorx="margin"/>
            </v:line>
          </w:pict>
        </mc:Fallback>
      </mc:AlternateContent>
    </w:r>
    <w:hyperlink r:id="rId1" w:history="1">
      <w:r>
        <w:rPr>
          <w:rStyle w:val="Hipervnculo"/>
          <w:rFonts w:cs="Arial"/>
          <w:sz w:val="12"/>
          <w:szCs w:val="12"/>
        </w:rPr>
        <w:t>www.icac.cat</w:t>
      </w:r>
    </w:hyperlink>
    <w:r>
      <w:rPr>
        <w:rFonts w:cs="Arial"/>
        <w:sz w:val="12"/>
        <w:szCs w:val="12"/>
      </w:rPr>
      <w:t xml:space="preserve"> </w:t>
    </w:r>
    <w:r w:rsidRPr="002932D4">
      <w:rPr>
        <w:rFonts w:cs="Arial"/>
        <w:sz w:val="12"/>
        <w:szCs w:val="12"/>
      </w:rPr>
      <w:t xml:space="preserve">• Pl. d’en Rovellat, s/n, 43003 Tarragona • Telèfon </w:t>
    </w:r>
    <w:r>
      <w:rPr>
        <w:rFonts w:cs="Arial"/>
        <w:sz w:val="12"/>
        <w:szCs w:val="12"/>
      </w:rPr>
      <w:t>680</w:t>
    </w:r>
    <w:r w:rsidRPr="002932D4">
      <w:rPr>
        <w:rFonts w:cs="Arial"/>
        <w:sz w:val="12"/>
        <w:szCs w:val="12"/>
      </w:rPr>
      <w:t xml:space="preserve"> </w:t>
    </w:r>
    <w:r>
      <w:rPr>
        <w:rFonts w:cs="Arial"/>
        <w:sz w:val="12"/>
        <w:szCs w:val="12"/>
      </w:rPr>
      <w:t>619 185</w:t>
    </w:r>
    <w:r w:rsidRPr="002932D4">
      <w:rPr>
        <w:rFonts w:cs="Arial"/>
        <w:sz w:val="12"/>
        <w:szCs w:val="12"/>
      </w:rPr>
      <w:t xml:space="preserve"> • </w:t>
    </w:r>
    <w:hyperlink r:id="rId2" w:history="1">
      <w:r w:rsidRPr="006507F5">
        <w:rPr>
          <w:rStyle w:val="Hipervnculo"/>
          <w:rFonts w:cs="Arial"/>
          <w:sz w:val="12"/>
          <w:szCs w:val="12"/>
        </w:rPr>
        <w:t>comunicacio@icac.cat</w:t>
      </w:r>
    </w:hyperlink>
    <w:r>
      <w:rPr>
        <w:rFonts w:cs="Arial"/>
        <w:sz w:val="12"/>
        <w:szCs w:val="12"/>
      </w:rPr>
      <w:t xml:space="preserve"> </w:t>
    </w:r>
    <w:r w:rsidRPr="002932D4">
      <w:rPr>
        <w:rFonts w:cs="Arial"/>
        <w:sz w:val="12"/>
        <w:szCs w:val="12"/>
      </w:rPr>
      <w:t xml:space="preserve">• </w:t>
    </w:r>
    <w:hyperlink r:id="rId3" w:history="1">
      <w:r w:rsidR="00C45AC9" w:rsidRPr="00C45AC9">
        <w:rPr>
          <w:rStyle w:val="Hipervnculo"/>
          <w:rFonts w:cs="Arial"/>
          <w:sz w:val="12"/>
          <w:szCs w:val="12"/>
        </w:rPr>
        <w:t>@ICAC_cat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D9C83" w14:textId="77777777" w:rsidR="00892AF7" w:rsidRDefault="00892AF7" w:rsidP="00081C4C">
      <w:pPr>
        <w:spacing w:after="0" w:line="240" w:lineRule="auto"/>
      </w:pPr>
      <w:r>
        <w:separator/>
      </w:r>
    </w:p>
  </w:footnote>
  <w:footnote w:type="continuationSeparator" w:id="0">
    <w:p w14:paraId="243A41E0" w14:textId="77777777" w:rsidR="00892AF7" w:rsidRDefault="00892AF7" w:rsidP="0008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BFF4" w14:textId="709B65D2" w:rsidR="00081C4C" w:rsidRDefault="00081C4C">
    <w:pPr>
      <w:pStyle w:val="Encabezado"/>
    </w:pPr>
    <w:r>
      <w:rPr>
        <w:noProof/>
      </w:rPr>
      <w:drawing>
        <wp:inline distT="0" distB="0" distL="0" distR="0" wp14:anchorId="149E2D64" wp14:editId="134011CC">
          <wp:extent cx="1143575" cy="624840"/>
          <wp:effectExtent l="0" t="0" r="0" b="3810"/>
          <wp:docPr id="21" name="Imagen 2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575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C3222"/>
    <w:multiLevelType w:val="hybridMultilevel"/>
    <w:tmpl w:val="CF769D22"/>
    <w:lvl w:ilvl="0" w:tplc="947A9E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83D45"/>
    <w:multiLevelType w:val="multilevel"/>
    <w:tmpl w:val="91F00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5D2E8A"/>
    <w:multiLevelType w:val="multilevel"/>
    <w:tmpl w:val="35A0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373639"/>
    <w:multiLevelType w:val="multilevel"/>
    <w:tmpl w:val="C6E4A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A76315"/>
    <w:multiLevelType w:val="hybridMultilevel"/>
    <w:tmpl w:val="49A22736"/>
    <w:lvl w:ilvl="0" w:tplc="77E0609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030B63"/>
    <w:multiLevelType w:val="multilevel"/>
    <w:tmpl w:val="314E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0F0991"/>
    <w:multiLevelType w:val="hybridMultilevel"/>
    <w:tmpl w:val="79C266EE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716585">
    <w:abstractNumId w:val="6"/>
  </w:num>
  <w:num w:numId="2" w16cid:durableId="720787717">
    <w:abstractNumId w:val="4"/>
  </w:num>
  <w:num w:numId="3" w16cid:durableId="1780100029">
    <w:abstractNumId w:val="0"/>
  </w:num>
  <w:num w:numId="4" w16cid:durableId="1784225961">
    <w:abstractNumId w:val="1"/>
  </w:num>
  <w:num w:numId="5" w16cid:durableId="1677344004">
    <w:abstractNumId w:val="5"/>
  </w:num>
  <w:num w:numId="6" w16cid:durableId="168832497">
    <w:abstractNumId w:val="3"/>
  </w:num>
  <w:num w:numId="7" w16cid:durableId="1502424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06BF"/>
    <w:rsid w:val="00034A21"/>
    <w:rsid w:val="00081C4C"/>
    <w:rsid w:val="000A4658"/>
    <w:rsid w:val="0011432C"/>
    <w:rsid w:val="00144CF7"/>
    <w:rsid w:val="0014567F"/>
    <w:rsid w:val="001C5860"/>
    <w:rsid w:val="001E442F"/>
    <w:rsid w:val="001F30E0"/>
    <w:rsid w:val="00257573"/>
    <w:rsid w:val="00270046"/>
    <w:rsid w:val="00297AF9"/>
    <w:rsid w:val="002A6DC7"/>
    <w:rsid w:val="002E5A70"/>
    <w:rsid w:val="00333780"/>
    <w:rsid w:val="00371BC9"/>
    <w:rsid w:val="0037580F"/>
    <w:rsid w:val="0039305E"/>
    <w:rsid w:val="003B13A5"/>
    <w:rsid w:val="003D7827"/>
    <w:rsid w:val="003E4957"/>
    <w:rsid w:val="003E6B13"/>
    <w:rsid w:val="004261B8"/>
    <w:rsid w:val="004924D9"/>
    <w:rsid w:val="00494CFE"/>
    <w:rsid w:val="004E495C"/>
    <w:rsid w:val="004F0A24"/>
    <w:rsid w:val="005277A5"/>
    <w:rsid w:val="005663A6"/>
    <w:rsid w:val="00596A28"/>
    <w:rsid w:val="005A100C"/>
    <w:rsid w:val="005D4387"/>
    <w:rsid w:val="00601CEF"/>
    <w:rsid w:val="0061675F"/>
    <w:rsid w:val="00617C2E"/>
    <w:rsid w:val="00620FF0"/>
    <w:rsid w:val="00667197"/>
    <w:rsid w:val="006809F4"/>
    <w:rsid w:val="006A5B4F"/>
    <w:rsid w:val="006D4136"/>
    <w:rsid w:val="006F0453"/>
    <w:rsid w:val="006F7BB9"/>
    <w:rsid w:val="0070445C"/>
    <w:rsid w:val="00704AA4"/>
    <w:rsid w:val="0071268A"/>
    <w:rsid w:val="00732A84"/>
    <w:rsid w:val="00737272"/>
    <w:rsid w:val="007501FE"/>
    <w:rsid w:val="00753565"/>
    <w:rsid w:val="0076222B"/>
    <w:rsid w:val="008142F3"/>
    <w:rsid w:val="00824372"/>
    <w:rsid w:val="0083302D"/>
    <w:rsid w:val="00836F66"/>
    <w:rsid w:val="00841756"/>
    <w:rsid w:val="0087139C"/>
    <w:rsid w:val="00873550"/>
    <w:rsid w:val="00892AF7"/>
    <w:rsid w:val="008A5863"/>
    <w:rsid w:val="008C4BB2"/>
    <w:rsid w:val="00910A11"/>
    <w:rsid w:val="009143D4"/>
    <w:rsid w:val="009357B5"/>
    <w:rsid w:val="00955773"/>
    <w:rsid w:val="00995F98"/>
    <w:rsid w:val="009D1933"/>
    <w:rsid w:val="00A006BF"/>
    <w:rsid w:val="00A06770"/>
    <w:rsid w:val="00A53947"/>
    <w:rsid w:val="00A80BA8"/>
    <w:rsid w:val="00A81BEB"/>
    <w:rsid w:val="00A826F1"/>
    <w:rsid w:val="00A85147"/>
    <w:rsid w:val="00AA1960"/>
    <w:rsid w:val="00AD4413"/>
    <w:rsid w:val="00AE0E11"/>
    <w:rsid w:val="00AF3A56"/>
    <w:rsid w:val="00B47395"/>
    <w:rsid w:val="00B95832"/>
    <w:rsid w:val="00BC3473"/>
    <w:rsid w:val="00BE318F"/>
    <w:rsid w:val="00C04152"/>
    <w:rsid w:val="00C20773"/>
    <w:rsid w:val="00C45AC9"/>
    <w:rsid w:val="00C56973"/>
    <w:rsid w:val="00C56F54"/>
    <w:rsid w:val="00C76B30"/>
    <w:rsid w:val="00CB028C"/>
    <w:rsid w:val="00CF265C"/>
    <w:rsid w:val="00D36A02"/>
    <w:rsid w:val="00D56D00"/>
    <w:rsid w:val="00D72ECA"/>
    <w:rsid w:val="00D9292D"/>
    <w:rsid w:val="00DF506D"/>
    <w:rsid w:val="00E34E71"/>
    <w:rsid w:val="00EB355B"/>
    <w:rsid w:val="00F20A45"/>
    <w:rsid w:val="00F26E44"/>
    <w:rsid w:val="00F41CF0"/>
    <w:rsid w:val="00FC1281"/>
    <w:rsid w:val="00FE7639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60771"/>
  <w15:docId w15:val="{234F39F2-1F24-4325-B344-BD90FAB8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67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30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44C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3D7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normaltextrun">
    <w:name w:val="normaltextrun"/>
    <w:basedOn w:val="Fuentedeprrafopredeter"/>
    <w:rsid w:val="003D7827"/>
  </w:style>
  <w:style w:type="character" w:customStyle="1" w:styleId="eop">
    <w:name w:val="eop"/>
    <w:basedOn w:val="Fuentedeprrafopredeter"/>
    <w:rsid w:val="003D7827"/>
  </w:style>
  <w:style w:type="paragraph" w:styleId="Encabezado">
    <w:name w:val="header"/>
    <w:basedOn w:val="Normal"/>
    <w:link w:val="EncabezadoCar"/>
    <w:uiPriority w:val="99"/>
    <w:unhideWhenUsed/>
    <w:rsid w:val="00081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1C4C"/>
  </w:style>
  <w:style w:type="paragraph" w:styleId="Piedepgina">
    <w:name w:val="footer"/>
    <w:basedOn w:val="Normal"/>
    <w:link w:val="PiedepginaCar"/>
    <w:uiPriority w:val="99"/>
    <w:unhideWhenUsed/>
    <w:rsid w:val="00081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C4C"/>
  </w:style>
  <w:style w:type="table" w:styleId="Tablaconcuadrcula">
    <w:name w:val="Table Grid"/>
    <w:basedOn w:val="Tablanormal"/>
    <w:uiPriority w:val="39"/>
    <w:rsid w:val="0008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D438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438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F567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04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44CF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Textoennegrita">
    <w:name w:val="Strong"/>
    <w:basedOn w:val="Fuentedeprrafopredeter"/>
    <w:uiPriority w:val="22"/>
    <w:qFormat/>
    <w:rsid w:val="004F0A24"/>
    <w:rPr>
      <w:b/>
      <w:b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30E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1Car">
    <w:name w:val="Título 1 Car"/>
    <w:basedOn w:val="Fuentedeprrafopredeter"/>
    <w:link w:val="Ttulo1"/>
    <w:uiPriority w:val="9"/>
    <w:rsid w:val="006167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1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5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6713">
          <w:marLeft w:val="0"/>
          <w:marRight w:val="0"/>
          <w:marTop w:val="0"/>
          <w:marBottom w:val="180"/>
          <w:divBdr>
            <w:top w:val="single" w:sz="6" w:space="9" w:color="F2CDBA"/>
            <w:left w:val="single" w:sz="6" w:space="9" w:color="F2CDBA"/>
            <w:bottom w:val="single" w:sz="6" w:space="0" w:color="F2CDBA"/>
            <w:right w:val="single" w:sz="6" w:space="9" w:color="F2CDBA"/>
          </w:divBdr>
        </w:div>
        <w:div w:id="429273844">
          <w:marLeft w:val="360"/>
          <w:marRight w:val="0"/>
          <w:marTop w:val="0"/>
          <w:marBottom w:val="0"/>
          <w:divBdr>
            <w:top w:val="none" w:sz="0" w:space="0" w:color="auto"/>
            <w:left w:val="single" w:sz="18" w:space="15" w:color="D36227"/>
            <w:bottom w:val="none" w:sz="0" w:space="0" w:color="auto"/>
            <w:right w:val="none" w:sz="0" w:space="0" w:color="auto"/>
          </w:divBdr>
          <w:divsChild>
            <w:div w:id="5029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1563">
          <w:marLeft w:val="360"/>
          <w:marRight w:val="0"/>
          <w:marTop w:val="0"/>
          <w:marBottom w:val="0"/>
          <w:divBdr>
            <w:top w:val="none" w:sz="0" w:space="0" w:color="auto"/>
            <w:left w:val="single" w:sz="18" w:space="15" w:color="D36227"/>
            <w:bottom w:val="none" w:sz="0" w:space="0" w:color="auto"/>
            <w:right w:val="none" w:sz="0" w:space="0" w:color="auto"/>
          </w:divBdr>
          <w:divsChild>
            <w:div w:id="11467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12051">
          <w:marLeft w:val="360"/>
          <w:marRight w:val="0"/>
          <w:marTop w:val="0"/>
          <w:marBottom w:val="0"/>
          <w:divBdr>
            <w:top w:val="none" w:sz="0" w:space="0" w:color="auto"/>
            <w:left w:val="single" w:sz="18" w:space="15" w:color="D36227"/>
            <w:bottom w:val="none" w:sz="0" w:space="0" w:color="auto"/>
            <w:right w:val="none" w:sz="0" w:space="0" w:color="auto"/>
          </w:divBdr>
          <w:divsChild>
            <w:div w:id="7062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49639">
          <w:marLeft w:val="0"/>
          <w:marRight w:val="0"/>
          <w:marTop w:val="0"/>
          <w:marBottom w:val="180"/>
          <w:divBdr>
            <w:top w:val="single" w:sz="6" w:space="9" w:color="F2CDBA"/>
            <w:left w:val="single" w:sz="6" w:space="9" w:color="F2CDBA"/>
            <w:bottom w:val="single" w:sz="6" w:space="0" w:color="F2CDBA"/>
            <w:right w:val="single" w:sz="6" w:space="9" w:color="F2CDBA"/>
          </w:divBdr>
        </w:div>
        <w:div w:id="767655751">
          <w:marLeft w:val="0"/>
          <w:marRight w:val="0"/>
          <w:marTop w:val="0"/>
          <w:marBottom w:val="180"/>
          <w:divBdr>
            <w:top w:val="single" w:sz="6" w:space="9" w:color="F2CDBA"/>
            <w:left w:val="single" w:sz="6" w:space="9" w:color="F2CDBA"/>
            <w:bottom w:val="single" w:sz="6" w:space="0" w:color="F2CDBA"/>
            <w:right w:val="single" w:sz="6" w:space="9" w:color="F2CDBA"/>
          </w:divBdr>
        </w:div>
      </w:divsChild>
    </w:div>
    <w:div w:id="18410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useos.navilens.com/index.html" TargetMode="External"/><Relationship Id="rId18" Type="http://schemas.openxmlformats.org/officeDocument/2006/relationships/hyperlink" Target="https://www.museuderipoll.org/" TargetMode="External"/><Relationship Id="rId26" Type="http://schemas.openxmlformats.org/officeDocument/2006/relationships/hyperlink" Target="https://icac.cat/qui-som/personal/paliend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cac.cat/qui-som/personal/mflorez_giap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parcsnaturals.gencat.cat/ca/xarxa-de-parcs/ter-freser/inici/" TargetMode="External"/><Relationship Id="rId17" Type="http://schemas.openxmlformats.org/officeDocument/2006/relationships/hyperlink" Target="https://parcsnaturals.gencat.cat/ca/xarxa-de-parcs/ter-freser/inici/" TargetMode="External"/><Relationship Id="rId25" Type="http://schemas.openxmlformats.org/officeDocument/2006/relationships/hyperlink" Target="https://icac.cat/qui-som/personal/abelgallego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valldenuria.cat/estiu/activitats/exposicions/" TargetMode="External"/><Relationship Id="rId20" Type="http://schemas.openxmlformats.org/officeDocument/2006/relationships/hyperlink" Target="https://icac.cat/qui-som/personal/jpalet/" TargetMode="External"/><Relationship Id="rId29" Type="http://schemas.openxmlformats.org/officeDocument/2006/relationships/hyperlink" Target="https://icaccat0-my.sharepoint.com/personal/mlerga_icac_cat/Documents/PROJECTES/AQUEDUCTES/Nota%20de%20Premsa%20ICAC_gener%202021/www.icac.ca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useuderipoll.org/" TargetMode="External"/><Relationship Id="rId24" Type="http://schemas.openxmlformats.org/officeDocument/2006/relationships/hyperlink" Target="https://icac.cat/qui-som/personal/vpescini/" TargetMode="External"/><Relationship Id="rId32" Type="http://schemas.openxmlformats.org/officeDocument/2006/relationships/hyperlink" Target="mailto:jpalet@icac.ca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icac.cat/qui-som/personal/acarbonell" TargetMode="External"/><Relationship Id="rId28" Type="http://schemas.openxmlformats.org/officeDocument/2006/relationships/hyperlink" Target="http://www.icac.ca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valldenuria.cat/estiu/activitats/exposicions/" TargetMode="External"/><Relationship Id="rId19" Type="http://schemas.openxmlformats.org/officeDocument/2006/relationships/hyperlink" Target="http://www.ajqueralbs.cat/" TargetMode="External"/><Relationship Id="rId31" Type="http://schemas.openxmlformats.org/officeDocument/2006/relationships/hyperlink" Target="https://twitter.com/ICAC_c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avilens.com/es/" TargetMode="External"/><Relationship Id="rId22" Type="http://schemas.openxmlformats.org/officeDocument/2006/relationships/hyperlink" Target="https://icac.cat/qui-som/personal/lcolominas/" TargetMode="External"/><Relationship Id="rId27" Type="http://schemas.openxmlformats.org/officeDocument/2006/relationships/image" Target="media/image4.jpeg"/><Relationship Id="rId30" Type="http://schemas.openxmlformats.org/officeDocument/2006/relationships/hyperlink" Target="mailto:comunicacio@icac.cat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giap.icac.cat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ICAC_cat" TargetMode="External"/><Relationship Id="rId2" Type="http://schemas.openxmlformats.org/officeDocument/2006/relationships/hyperlink" Target="mailto:comunicacio@icac.cat" TargetMode="External"/><Relationship Id="rId1" Type="http://schemas.openxmlformats.org/officeDocument/2006/relationships/hyperlink" Target="http://www.icac.ca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1610</Words>
  <Characters>9181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ICAC</Company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 Lopez Vilar</dc:creator>
  <cp:lastModifiedBy>Maura Lerga Felip</cp:lastModifiedBy>
  <cp:revision>5</cp:revision>
  <dcterms:created xsi:type="dcterms:W3CDTF">2022-04-05T11:06:00Z</dcterms:created>
  <dcterms:modified xsi:type="dcterms:W3CDTF">2022-05-03T07:26:00Z</dcterms:modified>
</cp:coreProperties>
</file>