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8720"/>
      </w:tblGrid>
      <w:tr w:rsidR="00081C4C" w:rsidRPr="00507CB8" w14:paraId="736D1978" w14:textId="77777777" w:rsidTr="0012533A">
        <w:tc>
          <w:tcPr>
            <w:tcW w:w="9060" w:type="dxa"/>
          </w:tcPr>
          <w:p w14:paraId="63955865" w14:textId="5552A6D4" w:rsidR="00617C2E" w:rsidRPr="00507CB8" w:rsidRDefault="00081C4C" w:rsidP="000242B1">
            <w:pPr>
              <w:snapToGrid w:val="0"/>
              <w:spacing w:before="120" w:after="120" w:line="276" w:lineRule="auto"/>
              <w:jc w:val="center"/>
              <w:rPr>
                <w:rStyle w:val="normaltextrun"/>
                <w:rFonts w:cstheme="minorHAnsi"/>
                <w:b/>
                <w:bCs/>
                <w:smallCaps/>
                <w:color w:val="0070C0"/>
                <w:sz w:val="44"/>
                <w:szCs w:val="44"/>
                <w:lang w:val="es-ES"/>
              </w:rPr>
            </w:pPr>
            <w:r w:rsidRPr="00507CB8">
              <w:rPr>
                <w:rStyle w:val="normaltextrun"/>
                <w:rFonts w:cstheme="minorHAnsi"/>
                <w:b/>
                <w:bCs/>
                <w:smallCaps/>
                <w:color w:val="0070C0"/>
                <w:sz w:val="44"/>
                <w:szCs w:val="44"/>
                <w:lang w:val="es-ES"/>
              </w:rPr>
              <w:t>Nota de Pre</w:t>
            </w:r>
            <w:r w:rsidR="00D57B22" w:rsidRPr="00507CB8">
              <w:rPr>
                <w:rStyle w:val="normaltextrun"/>
                <w:rFonts w:cstheme="minorHAnsi"/>
                <w:b/>
                <w:bCs/>
                <w:smallCaps/>
                <w:color w:val="0070C0"/>
                <w:sz w:val="44"/>
                <w:szCs w:val="44"/>
                <w:lang w:val="es-ES"/>
              </w:rPr>
              <w:t>n</w:t>
            </w:r>
            <w:r w:rsidRPr="00507CB8">
              <w:rPr>
                <w:rStyle w:val="normaltextrun"/>
                <w:rFonts w:cstheme="minorHAnsi"/>
                <w:b/>
                <w:bCs/>
                <w:smallCaps/>
                <w:color w:val="0070C0"/>
                <w:sz w:val="44"/>
                <w:szCs w:val="44"/>
                <w:lang w:val="es-ES"/>
              </w:rPr>
              <w:t>sa</w:t>
            </w:r>
          </w:p>
        </w:tc>
      </w:tr>
    </w:tbl>
    <w:p w14:paraId="70D0FBB8" w14:textId="2B9CC14B" w:rsidR="00081C4C" w:rsidRPr="00507CB8" w:rsidRDefault="00081C4C" w:rsidP="000242B1">
      <w:pPr>
        <w:snapToGrid w:val="0"/>
        <w:spacing w:before="240" w:after="240"/>
        <w:jc w:val="both"/>
        <w:rPr>
          <w:rFonts w:cstheme="minorHAnsi"/>
          <w:bCs/>
          <w:lang w:val="es-ES"/>
        </w:rPr>
      </w:pPr>
      <w:r w:rsidRPr="00507CB8">
        <w:rPr>
          <w:rFonts w:cstheme="minorHAnsi"/>
          <w:bCs/>
          <w:lang w:val="es-ES"/>
        </w:rPr>
        <w:t xml:space="preserve">Tarragona, </w:t>
      </w:r>
      <w:r w:rsidR="00507CB8" w:rsidRPr="00507CB8">
        <w:rPr>
          <w:rFonts w:cstheme="minorHAnsi"/>
          <w:bCs/>
          <w:lang w:val="es-ES"/>
        </w:rPr>
        <w:t>3</w:t>
      </w:r>
      <w:r w:rsidR="000242B1" w:rsidRPr="00507CB8">
        <w:rPr>
          <w:rFonts w:cstheme="minorHAnsi"/>
          <w:bCs/>
          <w:lang w:val="es-ES"/>
        </w:rPr>
        <w:t xml:space="preserve"> de </w:t>
      </w:r>
      <w:r w:rsidR="00507CB8" w:rsidRPr="00507CB8">
        <w:rPr>
          <w:rFonts w:cstheme="minorHAnsi"/>
          <w:bCs/>
          <w:lang w:val="es-ES"/>
        </w:rPr>
        <w:t>mayo</w:t>
      </w:r>
      <w:r w:rsidR="000242B1" w:rsidRPr="00507CB8">
        <w:rPr>
          <w:rFonts w:cstheme="minorHAnsi"/>
          <w:bCs/>
          <w:lang w:val="es-ES"/>
        </w:rPr>
        <w:t xml:space="preserve"> de 2022</w:t>
      </w:r>
    </w:p>
    <w:p w14:paraId="40AB6B4C" w14:textId="77777777" w:rsidR="00507CB8" w:rsidRPr="00507CB8" w:rsidRDefault="00507CB8" w:rsidP="00507CB8">
      <w:pPr>
        <w:pStyle w:val="Ttulo6"/>
        <w:spacing w:before="240" w:after="240" w:line="276" w:lineRule="auto"/>
        <w:jc w:val="both"/>
        <w:rPr>
          <w:rFonts w:cstheme="minorHAnsi"/>
          <w:color w:val="D95016"/>
          <w:sz w:val="28"/>
          <w:szCs w:val="28"/>
        </w:rPr>
      </w:pPr>
      <w:proofErr w:type="spellStart"/>
      <w:r w:rsidRPr="00507CB8">
        <w:rPr>
          <w:rFonts w:cstheme="minorHAnsi"/>
          <w:color w:val="D95016"/>
          <w:sz w:val="28"/>
          <w:szCs w:val="28"/>
        </w:rPr>
        <w:t>ArqueoPirenaia</w:t>
      </w:r>
      <w:proofErr w:type="spellEnd"/>
      <w:r w:rsidRPr="00507CB8">
        <w:rPr>
          <w:rFonts w:cstheme="minorHAnsi"/>
          <w:color w:val="D95016"/>
          <w:sz w:val="28"/>
          <w:szCs w:val="28"/>
        </w:rPr>
        <w:t xml:space="preserve">, un nuevo proyecto </w:t>
      </w:r>
      <w:proofErr w:type="spellStart"/>
      <w:r w:rsidRPr="00507CB8">
        <w:rPr>
          <w:rFonts w:cstheme="minorHAnsi"/>
          <w:color w:val="D95016"/>
          <w:sz w:val="28"/>
          <w:szCs w:val="28"/>
        </w:rPr>
        <w:t>FECYT</w:t>
      </w:r>
      <w:proofErr w:type="spellEnd"/>
      <w:r w:rsidRPr="00507CB8">
        <w:rPr>
          <w:rFonts w:cstheme="minorHAnsi"/>
          <w:color w:val="D95016"/>
          <w:sz w:val="28"/>
          <w:szCs w:val="28"/>
        </w:rPr>
        <w:t xml:space="preserve"> de transferencia del conocimiento que llevará la didáctica y la mediación del patrimonio al Valle de Núria</w:t>
      </w:r>
    </w:p>
    <w:p w14:paraId="01C0C505" w14:textId="02DF1E69" w:rsidR="006A20B3" w:rsidRPr="00507CB8" w:rsidRDefault="00507CB8" w:rsidP="000242B1">
      <w:pPr>
        <w:pStyle w:val="Ttulo6"/>
        <w:spacing w:before="240" w:beforeAutospacing="0" w:after="240" w:afterAutospacing="0" w:line="276" w:lineRule="auto"/>
        <w:jc w:val="both"/>
        <w:rPr>
          <w:rStyle w:val="Textoennegrita"/>
          <w:rFonts w:asciiTheme="minorHAnsi" w:hAnsiTheme="minorHAnsi" w:cstheme="minorHAnsi"/>
          <w:b/>
          <w:bCs/>
          <w:color w:val="D95016"/>
          <w:sz w:val="28"/>
          <w:szCs w:val="28"/>
        </w:rPr>
      </w:pPr>
      <w:r w:rsidRPr="00507CB8">
        <w:rPr>
          <w:noProof/>
        </w:rPr>
        <w:drawing>
          <wp:inline distT="0" distB="0" distL="0" distR="0" wp14:anchorId="1D07CF5E" wp14:editId="31EDF89E">
            <wp:extent cx="5400040" cy="4050030"/>
            <wp:effectExtent l="0" t="0" r="0" b="7620"/>
            <wp:docPr id="5" name="Imagen 5" descr="Un grupo de personas en una montaña de roca en el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grupo de personas en una montaña de roca en el pasto&#10;&#10;Descripción generada automáticamente con confianza 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0A3D2B40" w14:textId="30CE7072" w:rsidR="00D72661" w:rsidRPr="00507CB8" w:rsidRDefault="00507CB8" w:rsidP="000242B1">
      <w:pPr>
        <w:pStyle w:val="Ttulo6"/>
        <w:spacing w:before="240" w:beforeAutospacing="0" w:after="240" w:afterAutospacing="0" w:line="276" w:lineRule="auto"/>
        <w:jc w:val="both"/>
        <w:rPr>
          <w:rFonts w:ascii="Noto Serif" w:hAnsi="Noto Serif" w:cs="Noto Serif"/>
          <w:b w:val="0"/>
          <w:bCs w:val="0"/>
          <w:color w:val="808080"/>
          <w:sz w:val="20"/>
          <w:szCs w:val="20"/>
          <w:shd w:val="clear" w:color="auto" w:fill="FFFFFF"/>
        </w:rPr>
      </w:pPr>
      <w:r w:rsidRPr="00507CB8">
        <w:rPr>
          <w:rFonts w:ascii="Noto Serif" w:hAnsi="Noto Serif" w:cs="Noto Serif"/>
          <w:b w:val="0"/>
          <w:bCs w:val="0"/>
          <w:color w:val="808080"/>
          <w:sz w:val="20"/>
          <w:szCs w:val="20"/>
          <w:shd w:val="clear" w:color="auto" w:fill="FFFFFF"/>
        </w:rPr>
        <w:t>Vista general del yacimiento de la Font Negra. Foto: ICAC.</w:t>
      </w:r>
    </w:p>
    <w:p w14:paraId="7ABC85C6" w14:textId="7F7AD934" w:rsidR="00507CB8" w:rsidRPr="00507CB8" w:rsidRDefault="00507CB8" w:rsidP="000242B1">
      <w:pPr>
        <w:pStyle w:val="Ttulo6"/>
        <w:spacing w:before="240" w:beforeAutospacing="0" w:after="240" w:afterAutospacing="0" w:line="276" w:lineRule="auto"/>
        <w:jc w:val="both"/>
        <w:rPr>
          <w:rFonts w:asciiTheme="minorHAnsi" w:hAnsiTheme="minorHAnsi" w:cstheme="minorHAnsi"/>
          <w:sz w:val="22"/>
          <w:szCs w:val="22"/>
        </w:rPr>
      </w:pPr>
    </w:p>
    <w:p w14:paraId="3175D85F" w14:textId="77777777" w:rsidR="00507CB8" w:rsidRPr="00507CB8" w:rsidRDefault="00507CB8" w:rsidP="00507CB8">
      <w:pPr>
        <w:pStyle w:val="Ttulo6"/>
        <w:shd w:val="clear" w:color="auto" w:fill="FFFFFF"/>
        <w:spacing w:before="360" w:beforeAutospacing="0" w:after="180" w:afterAutospacing="0"/>
        <w:rPr>
          <w:rFonts w:ascii="Noto Serif" w:hAnsi="Noto Serif" w:cs="Noto Serif"/>
          <w:color w:val="433030"/>
          <w:sz w:val="22"/>
          <w:szCs w:val="22"/>
        </w:rPr>
      </w:pPr>
      <w:r w:rsidRPr="00507CB8">
        <w:rPr>
          <w:rFonts w:ascii="Noto Serif" w:hAnsi="Noto Serif" w:cs="Noto Serif"/>
          <w:color w:val="433030"/>
          <w:sz w:val="22"/>
          <w:szCs w:val="22"/>
        </w:rPr>
        <w:t xml:space="preserve">La convocatoria 2022 de la </w:t>
      </w:r>
      <w:proofErr w:type="spellStart"/>
      <w:r w:rsidRPr="00507CB8">
        <w:rPr>
          <w:rFonts w:ascii="Noto Serif" w:hAnsi="Noto Serif" w:cs="Noto Serif"/>
          <w:color w:val="433030"/>
          <w:sz w:val="22"/>
          <w:szCs w:val="22"/>
        </w:rPr>
        <w:t>FECYT</w:t>
      </w:r>
      <w:proofErr w:type="spellEnd"/>
      <w:r w:rsidRPr="00507CB8">
        <w:rPr>
          <w:rFonts w:ascii="Noto Serif" w:hAnsi="Noto Serif" w:cs="Noto Serif"/>
          <w:color w:val="433030"/>
          <w:sz w:val="22"/>
          <w:szCs w:val="22"/>
        </w:rPr>
        <w:t xml:space="preserve"> para proyectos de transferencia del conocimiento ha concedido una ayuda a una propuesta del grupo </w:t>
      </w:r>
      <w:proofErr w:type="spellStart"/>
      <w:r w:rsidRPr="00507CB8">
        <w:rPr>
          <w:rFonts w:ascii="Noto Serif" w:hAnsi="Noto Serif" w:cs="Noto Serif"/>
          <w:color w:val="433030"/>
          <w:sz w:val="22"/>
          <w:szCs w:val="22"/>
        </w:rPr>
        <w:t>GIAP</w:t>
      </w:r>
      <w:proofErr w:type="spellEnd"/>
      <w:r w:rsidRPr="00507CB8">
        <w:rPr>
          <w:rFonts w:ascii="Noto Serif" w:hAnsi="Noto Serif" w:cs="Noto Serif"/>
          <w:color w:val="433030"/>
          <w:sz w:val="22"/>
          <w:szCs w:val="22"/>
        </w:rPr>
        <w:t xml:space="preserve"> del ICAC para trabajar con el paisaje cultural de alta montaña en el Vall de Núria (Pirineos Orientales).</w:t>
      </w:r>
    </w:p>
    <w:p w14:paraId="10FA8EBB"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El proyecto «</w:t>
      </w:r>
      <w:proofErr w:type="spellStart"/>
      <w:r w:rsidRPr="00507CB8">
        <w:rPr>
          <w:rFonts w:ascii="Noto Serif" w:hAnsi="Noto Serif" w:cs="Noto Serif"/>
          <w:color w:val="545454"/>
          <w:sz w:val="22"/>
          <w:szCs w:val="22"/>
        </w:rPr>
        <w:t>ArqueoPirenaia</w:t>
      </w:r>
      <w:proofErr w:type="spellEnd"/>
      <w:r w:rsidRPr="00507CB8">
        <w:rPr>
          <w:rFonts w:ascii="Noto Serif" w:hAnsi="Noto Serif" w:cs="Noto Serif"/>
          <w:color w:val="545454"/>
          <w:sz w:val="22"/>
          <w:szCs w:val="22"/>
        </w:rPr>
        <w:t xml:space="preserve">. Transferencia social, didáctica y mediación del patrimonio en un paisaje cultural de alta montaña (Valle de Núria, Pirineos Orientales» (FCT-20-17298) ha obtenido muy buena puntuación (92 sobre 100) y </w:t>
      </w:r>
      <w:r w:rsidRPr="00507CB8">
        <w:rPr>
          <w:rFonts w:ascii="Noto Serif" w:hAnsi="Noto Serif" w:cs="Noto Serif"/>
          <w:color w:val="545454"/>
          <w:sz w:val="22"/>
          <w:szCs w:val="22"/>
        </w:rPr>
        <w:lastRenderedPageBreak/>
        <w:t>ha conseguido la 5ª posición entre casi 200 solicitudes en la modalidad de fomento de la cultura científica, tecnológica y de la innovación.</w:t>
      </w:r>
    </w:p>
    <w:p w14:paraId="774243B8" w14:textId="77777777" w:rsidR="00507CB8" w:rsidRPr="00507CB8" w:rsidRDefault="00507CB8" w:rsidP="00507CB8">
      <w:pPr>
        <w:pStyle w:val="NormalWeb"/>
        <w:shd w:val="clear" w:color="auto" w:fill="FAECE5"/>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El proyecto </w:t>
      </w:r>
      <w:proofErr w:type="spellStart"/>
      <w:r w:rsidRPr="00507CB8">
        <w:rPr>
          <w:rStyle w:val="Textoennegrita"/>
          <w:rFonts w:ascii="Noto Serif" w:hAnsi="Noto Serif" w:cs="Noto Serif"/>
          <w:color w:val="545454"/>
          <w:sz w:val="22"/>
          <w:szCs w:val="22"/>
        </w:rPr>
        <w:t>ArqueoPirenaia</w:t>
      </w:r>
      <w:proofErr w:type="spellEnd"/>
      <w:r w:rsidRPr="00507CB8">
        <w:rPr>
          <w:rStyle w:val="Textoennegrita"/>
          <w:rFonts w:ascii="Noto Serif" w:hAnsi="Noto Serif" w:cs="Noto Serif"/>
          <w:color w:val="545454"/>
          <w:sz w:val="22"/>
          <w:szCs w:val="22"/>
        </w:rPr>
        <w:t> </w:t>
      </w:r>
      <w:r w:rsidRPr="00507CB8">
        <w:rPr>
          <w:rFonts w:ascii="Noto Serif" w:hAnsi="Noto Serif" w:cs="Noto Serif"/>
          <w:color w:val="545454"/>
          <w:sz w:val="22"/>
          <w:szCs w:val="22"/>
        </w:rPr>
        <w:t>(FCT-20-17298) propone hacer llegar a la ciudadanía los resultados de los proyectos de investigación en arqueología del paisaje que el ICAC ha desarrollado desde 2010 en el Valle de Núria (Pirineos Orientales, Girona), un espacio singular de alta montaña pirenaica.</w:t>
      </w:r>
    </w:p>
    <w:p w14:paraId="3B4FE83D" w14:textId="77777777" w:rsidR="00507CB8" w:rsidRDefault="00507CB8" w:rsidP="00507CB8">
      <w:pPr>
        <w:pStyle w:val="NormalWeb"/>
        <w:shd w:val="clear" w:color="auto" w:fill="FFFFFF"/>
        <w:spacing w:before="0" w:beforeAutospacing="0" w:after="180" w:afterAutospacing="0"/>
        <w:rPr>
          <w:rFonts w:ascii="Noto Serif" w:hAnsi="Noto Serif" w:cs="Noto Serif"/>
          <w:b/>
          <w:bCs/>
          <w:color w:val="D36227"/>
          <w:sz w:val="22"/>
          <w:szCs w:val="22"/>
        </w:rPr>
      </w:pPr>
    </w:p>
    <w:p w14:paraId="442CD4FE" w14:textId="0B2C3DEA" w:rsidR="00507CB8" w:rsidRPr="00507CB8" w:rsidRDefault="00507CB8" w:rsidP="00507CB8">
      <w:pPr>
        <w:pStyle w:val="NormalWeb"/>
        <w:shd w:val="clear" w:color="auto" w:fill="FFFFFF"/>
        <w:spacing w:before="0" w:beforeAutospacing="0" w:after="180" w:afterAutospacing="0"/>
        <w:ind w:left="426"/>
        <w:rPr>
          <w:rFonts w:ascii="Noto Serif" w:hAnsi="Noto Serif" w:cs="Noto Serif"/>
          <w:b/>
          <w:bCs/>
          <w:color w:val="D36227"/>
          <w:sz w:val="20"/>
          <w:szCs w:val="20"/>
        </w:rPr>
      </w:pPr>
      <w:proofErr w:type="spellStart"/>
      <w:r w:rsidRPr="00507CB8">
        <w:rPr>
          <w:rFonts w:ascii="Noto Serif" w:hAnsi="Noto Serif" w:cs="Noto Serif"/>
          <w:b/>
          <w:bCs/>
          <w:color w:val="D36227"/>
          <w:sz w:val="20"/>
          <w:szCs w:val="20"/>
        </w:rPr>
        <w:t>ArqueoPirenaia</w:t>
      </w:r>
      <w:proofErr w:type="spellEnd"/>
      <w:r w:rsidRPr="00507CB8">
        <w:rPr>
          <w:rFonts w:ascii="Noto Serif" w:hAnsi="Noto Serif" w:cs="Noto Serif"/>
          <w:b/>
          <w:bCs/>
          <w:color w:val="D36227"/>
          <w:sz w:val="20"/>
          <w:szCs w:val="20"/>
        </w:rPr>
        <w:t xml:space="preserve"> se ejecutará entre los meses de julio de 2022 y junio de 2023.</w:t>
      </w:r>
    </w:p>
    <w:p w14:paraId="06F3E487" w14:textId="038D48C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El Valle de Núria, en los Pirineos Orientales (Girona), se sitúa por encima la cota de 2.000 m. Limita, al norte, con la frontera franco-española en la línea de cresta axial, y se extiende al este hasta el refugio de Coma de Vaca (1.990 m) y el complejo de la Estación del Valle de Núria al sur. Su paisaje cuenta con un gran valor patrimonial y cultural, de larga trayectoria histórica, con vestigios de ocupación y explotación humana que datan del neolítico hasta la época contemporánea.</w:t>
      </w:r>
    </w:p>
    <w:p w14:paraId="5592B0C2"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 xml:space="preserve">La posibilidad de preservar este tipo de paisaje </w:t>
      </w:r>
      <w:proofErr w:type="spellStart"/>
      <w:r w:rsidRPr="00507CB8">
        <w:rPr>
          <w:rFonts w:ascii="Noto Serif" w:hAnsi="Noto Serif" w:cs="Noto Serif"/>
          <w:color w:val="545454"/>
          <w:sz w:val="22"/>
          <w:szCs w:val="22"/>
        </w:rPr>
        <w:t>altimontano</w:t>
      </w:r>
      <w:proofErr w:type="spellEnd"/>
      <w:r w:rsidRPr="00507CB8">
        <w:rPr>
          <w:rFonts w:ascii="Noto Serif" w:hAnsi="Noto Serif" w:cs="Noto Serif"/>
          <w:color w:val="545454"/>
          <w:sz w:val="22"/>
          <w:szCs w:val="22"/>
        </w:rPr>
        <w:t xml:space="preserve"> pasa por la </w:t>
      </w:r>
      <w:r w:rsidRPr="00507CB8">
        <w:rPr>
          <w:rStyle w:val="Textoennegrita"/>
          <w:rFonts w:ascii="Noto Serif" w:hAnsi="Noto Serif" w:cs="Noto Serif"/>
          <w:color w:val="545454"/>
          <w:sz w:val="22"/>
          <w:szCs w:val="22"/>
        </w:rPr>
        <w:t>difusión y puesta en valor</w:t>
      </w:r>
      <w:r w:rsidRPr="00507CB8">
        <w:rPr>
          <w:rFonts w:ascii="Noto Serif" w:hAnsi="Noto Serif" w:cs="Noto Serif"/>
          <w:color w:val="545454"/>
          <w:sz w:val="22"/>
          <w:szCs w:val="22"/>
        </w:rPr>
        <w:t> de sus elementos más significativos y, especialmente, el patrimonio histórico-arqueológico. El reconocimiento del valor cultural del paisaje constituye, además, una herramienta para la gestión de los territorios y contribuye a su desarrollo sostenible.</w:t>
      </w:r>
    </w:p>
    <w:p w14:paraId="7793F8A3" w14:textId="534BF108" w:rsidR="00507CB8" w:rsidRPr="00507CB8" w:rsidRDefault="00507CB8" w:rsidP="00507CB8">
      <w:pPr>
        <w:pStyle w:val="Ttulo5"/>
        <w:shd w:val="clear" w:color="auto" w:fill="FFFFFF"/>
        <w:spacing w:before="360" w:beforeAutospacing="0" w:after="180" w:afterAutospacing="0"/>
        <w:rPr>
          <w:rFonts w:ascii="Noto Serif" w:hAnsi="Noto Serif" w:cs="Noto Serif"/>
          <w:color w:val="433030"/>
          <w:sz w:val="22"/>
          <w:szCs w:val="22"/>
        </w:rPr>
      </w:pPr>
      <w:r w:rsidRPr="00507CB8">
        <w:rPr>
          <w:rStyle w:val="Textoennegrita"/>
          <w:rFonts w:ascii="Noto Serif" w:hAnsi="Noto Serif" w:cs="Noto Serif"/>
          <w:b/>
          <w:bCs/>
          <w:color w:val="D95016"/>
          <w:sz w:val="22"/>
          <w:szCs w:val="22"/>
        </w:rPr>
        <w:t>El resultado de diez años de investigación en el Valle de Núria</w:t>
      </w:r>
    </w:p>
    <w:p w14:paraId="02B67037"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El </w:t>
      </w:r>
      <w:hyperlink r:id="rId8" w:tgtFrame="_blank" w:history="1">
        <w:r w:rsidRPr="00507CB8">
          <w:rPr>
            <w:rStyle w:val="Textoennegrita"/>
            <w:rFonts w:ascii="Noto Serif" w:hAnsi="Noto Serif" w:cs="Noto Serif"/>
            <w:color w:val="9C2439"/>
            <w:sz w:val="22"/>
            <w:szCs w:val="22"/>
          </w:rPr>
          <w:t>Grupo de Investigación en Arqueología del Paisaje (</w:t>
        </w:r>
        <w:proofErr w:type="spellStart"/>
        <w:r w:rsidRPr="00507CB8">
          <w:rPr>
            <w:rStyle w:val="Textoennegrita"/>
            <w:rFonts w:ascii="Noto Serif" w:hAnsi="Noto Serif" w:cs="Noto Serif"/>
            <w:color w:val="9C2439"/>
            <w:sz w:val="22"/>
            <w:szCs w:val="22"/>
          </w:rPr>
          <w:t>GIAP</w:t>
        </w:r>
        <w:proofErr w:type="spellEnd"/>
        <w:r w:rsidRPr="00507CB8">
          <w:rPr>
            <w:rStyle w:val="Textoennegrita"/>
            <w:rFonts w:ascii="Noto Serif" w:hAnsi="Noto Serif" w:cs="Noto Serif"/>
            <w:color w:val="9C2439"/>
            <w:sz w:val="22"/>
            <w:szCs w:val="22"/>
          </w:rPr>
          <w:t>)</w:t>
        </w:r>
      </w:hyperlink>
      <w:r w:rsidRPr="00507CB8">
        <w:rPr>
          <w:rFonts w:ascii="Noto Serif" w:hAnsi="Noto Serif" w:cs="Noto Serif"/>
          <w:color w:val="545454"/>
          <w:sz w:val="22"/>
          <w:szCs w:val="22"/>
        </w:rPr>
        <w:t> del ICAC desarrolla desde 2010 un proyecto de investigación en la zona del Valle de Núria. Los trabajos arqueológicos se han desarrollado en el marco de distintos proyectos financiados por el Ministerio de Ciencia e Innovación del Gobierno de España (</w:t>
      </w:r>
      <w:proofErr w:type="spellStart"/>
      <w:r w:rsidRPr="00507CB8">
        <w:rPr>
          <w:rFonts w:ascii="Noto Serif" w:hAnsi="Noto Serif" w:cs="Noto Serif"/>
          <w:color w:val="545454"/>
          <w:sz w:val="22"/>
          <w:szCs w:val="22"/>
        </w:rPr>
        <w:t>MICINN</w:t>
      </w:r>
      <w:proofErr w:type="spellEnd"/>
      <w:r w:rsidRPr="00507CB8">
        <w:rPr>
          <w:rFonts w:ascii="Noto Serif" w:hAnsi="Noto Serif" w:cs="Noto Serif"/>
          <w:color w:val="545454"/>
          <w:sz w:val="22"/>
          <w:szCs w:val="22"/>
        </w:rPr>
        <w:t xml:space="preserve">): </w:t>
      </w:r>
      <w:proofErr w:type="spellStart"/>
      <w:r w:rsidRPr="00507CB8">
        <w:rPr>
          <w:rFonts w:ascii="Noto Serif" w:hAnsi="Noto Serif" w:cs="Noto Serif"/>
          <w:color w:val="545454"/>
          <w:sz w:val="22"/>
          <w:szCs w:val="22"/>
        </w:rPr>
        <w:t>Interambar</w:t>
      </w:r>
      <w:proofErr w:type="spellEnd"/>
      <w:r w:rsidRPr="00507CB8">
        <w:rPr>
          <w:rFonts w:ascii="Noto Serif" w:hAnsi="Noto Serif" w:cs="Noto Serif"/>
          <w:color w:val="545454"/>
          <w:sz w:val="22"/>
          <w:szCs w:val="22"/>
        </w:rPr>
        <w:t xml:space="preserve"> (CGL2009-12676-C02), </w:t>
      </w:r>
      <w:proofErr w:type="spellStart"/>
      <w:r w:rsidRPr="00507CB8">
        <w:rPr>
          <w:rFonts w:ascii="Noto Serif" w:hAnsi="Noto Serif" w:cs="Noto Serif"/>
          <w:color w:val="545454"/>
          <w:sz w:val="22"/>
          <w:szCs w:val="22"/>
        </w:rPr>
        <w:t>TerAmAr</w:t>
      </w:r>
      <w:proofErr w:type="spellEnd"/>
      <w:r w:rsidRPr="00507CB8">
        <w:rPr>
          <w:rFonts w:ascii="Noto Serif" w:hAnsi="Noto Serif" w:cs="Noto Serif"/>
          <w:color w:val="545454"/>
          <w:sz w:val="22"/>
          <w:szCs w:val="22"/>
        </w:rPr>
        <w:t xml:space="preserve"> (HAR2012-39087-C02-02), </w:t>
      </w:r>
      <w:proofErr w:type="spellStart"/>
      <w:r w:rsidRPr="00507CB8">
        <w:rPr>
          <w:rFonts w:ascii="Noto Serif" w:hAnsi="Noto Serif" w:cs="Noto Serif"/>
          <w:color w:val="545454"/>
          <w:sz w:val="22"/>
          <w:szCs w:val="22"/>
        </w:rPr>
        <w:t>InterArPa</w:t>
      </w:r>
      <w:proofErr w:type="spellEnd"/>
      <w:r w:rsidRPr="00507CB8">
        <w:rPr>
          <w:rFonts w:ascii="Noto Serif" w:hAnsi="Noto Serif" w:cs="Noto Serif"/>
          <w:color w:val="545454"/>
          <w:sz w:val="22"/>
          <w:szCs w:val="22"/>
        </w:rPr>
        <w:t xml:space="preserve"> (HAR2015-64636-P) i </w:t>
      </w:r>
      <w:proofErr w:type="spellStart"/>
      <w:r w:rsidRPr="00507CB8">
        <w:rPr>
          <w:rFonts w:ascii="Noto Serif" w:hAnsi="Noto Serif" w:cs="Noto Serif"/>
          <w:color w:val="545454"/>
          <w:sz w:val="22"/>
          <w:szCs w:val="22"/>
        </w:rPr>
        <w:t>TransLands</w:t>
      </w:r>
      <w:proofErr w:type="spellEnd"/>
      <w:r w:rsidRPr="00507CB8">
        <w:rPr>
          <w:rFonts w:ascii="Noto Serif" w:hAnsi="Noto Serif" w:cs="Noto Serif"/>
          <w:color w:val="545454"/>
          <w:sz w:val="22"/>
          <w:szCs w:val="22"/>
        </w:rPr>
        <w:t xml:space="preserve"> (PGC2018-093734-B-I00); así como del Departamento de Cultura de la Generalitat de Catalunya.</w:t>
      </w:r>
    </w:p>
    <w:p w14:paraId="2BFBB025" w14:textId="77777777" w:rsidR="00507CB8" w:rsidRPr="00507CB8" w:rsidRDefault="00507CB8" w:rsidP="00507CB8">
      <w:pPr>
        <w:pStyle w:val="NormalWeb"/>
        <w:shd w:val="clear" w:color="auto" w:fill="FFFFFF"/>
        <w:spacing w:before="0" w:beforeAutospacing="0" w:after="180" w:afterAutospacing="0"/>
        <w:ind w:left="284"/>
        <w:rPr>
          <w:rFonts w:ascii="Noto Serif" w:hAnsi="Noto Serif" w:cs="Noto Serif"/>
          <w:b/>
          <w:bCs/>
          <w:color w:val="D36227"/>
          <w:sz w:val="20"/>
          <w:szCs w:val="20"/>
        </w:rPr>
      </w:pPr>
      <w:r w:rsidRPr="00507CB8">
        <w:rPr>
          <w:rFonts w:ascii="Noto Serif" w:hAnsi="Noto Serif" w:cs="Noto Serif"/>
          <w:b/>
          <w:bCs/>
          <w:color w:val="D36227"/>
          <w:sz w:val="20"/>
          <w:szCs w:val="20"/>
        </w:rPr>
        <w:t xml:space="preserve">Las acciones aprobadas se centran en el entorno del Valle de Núria y tienen por objetivo fomentar el impacto social de los resultados de la investigación del </w:t>
      </w:r>
      <w:proofErr w:type="spellStart"/>
      <w:r w:rsidRPr="00507CB8">
        <w:rPr>
          <w:rFonts w:ascii="Noto Serif" w:hAnsi="Noto Serif" w:cs="Noto Serif"/>
          <w:b/>
          <w:bCs/>
          <w:color w:val="D36227"/>
          <w:sz w:val="20"/>
          <w:szCs w:val="20"/>
        </w:rPr>
        <w:t>GIAP</w:t>
      </w:r>
      <w:proofErr w:type="spellEnd"/>
      <w:r w:rsidRPr="00507CB8">
        <w:rPr>
          <w:rFonts w:ascii="Noto Serif" w:hAnsi="Noto Serif" w:cs="Noto Serif"/>
          <w:b/>
          <w:bCs/>
          <w:color w:val="D36227"/>
          <w:sz w:val="20"/>
          <w:szCs w:val="20"/>
        </w:rPr>
        <w:t xml:space="preserve"> (ICAC) en el territorio.</w:t>
      </w:r>
    </w:p>
    <w:p w14:paraId="71A13DD4"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Después de una década de trabajos arqueológicos interdisciplinarios, </w:t>
      </w:r>
      <w:r w:rsidRPr="00507CB8">
        <w:rPr>
          <w:rStyle w:val="Textoennegrita"/>
          <w:rFonts w:ascii="Noto Serif" w:hAnsi="Noto Serif" w:cs="Noto Serif"/>
          <w:color w:val="545454"/>
          <w:sz w:val="22"/>
          <w:szCs w:val="22"/>
        </w:rPr>
        <w:t xml:space="preserve">el </w:t>
      </w:r>
      <w:proofErr w:type="spellStart"/>
      <w:r w:rsidRPr="00507CB8">
        <w:rPr>
          <w:rStyle w:val="Textoennegrita"/>
          <w:rFonts w:ascii="Noto Serif" w:hAnsi="Noto Serif" w:cs="Noto Serif"/>
          <w:color w:val="545454"/>
          <w:sz w:val="22"/>
          <w:szCs w:val="22"/>
        </w:rPr>
        <w:t>GIAP</w:t>
      </w:r>
      <w:proofErr w:type="spellEnd"/>
      <w:r w:rsidRPr="00507CB8">
        <w:rPr>
          <w:rStyle w:val="Textoennegrita"/>
          <w:rFonts w:ascii="Noto Serif" w:hAnsi="Noto Serif" w:cs="Noto Serif"/>
          <w:color w:val="545454"/>
          <w:sz w:val="22"/>
          <w:szCs w:val="22"/>
        </w:rPr>
        <w:t xml:space="preserve"> (ICAC) ha documentado en la zona del Valle de Núria un total de 140 estructuras, agrupadas en 28 yacimientos</w:t>
      </w:r>
      <w:r w:rsidRPr="00507CB8">
        <w:rPr>
          <w:rFonts w:ascii="Noto Serif" w:hAnsi="Noto Serif" w:cs="Noto Serif"/>
          <w:color w:val="545454"/>
          <w:sz w:val="22"/>
          <w:szCs w:val="22"/>
        </w:rPr>
        <w:t xml:space="preserve">. A lo largo de diversas campañas, el grupo ha intervenido en 9 de los yacimientos y ha excavado 17 de las estructuras. Los proyectos han contado con la intervención de múltiples especialistas (de la arqueología, la palinología, la arqueozoología, la </w:t>
      </w:r>
      <w:proofErr w:type="spellStart"/>
      <w:r w:rsidRPr="00507CB8">
        <w:rPr>
          <w:rFonts w:ascii="Noto Serif" w:hAnsi="Noto Serif" w:cs="Noto Serif"/>
          <w:color w:val="545454"/>
          <w:sz w:val="22"/>
          <w:szCs w:val="22"/>
        </w:rPr>
        <w:t>arqueobotánica</w:t>
      </w:r>
      <w:proofErr w:type="spellEnd"/>
      <w:r w:rsidRPr="00507CB8">
        <w:rPr>
          <w:rFonts w:ascii="Noto Serif" w:hAnsi="Noto Serif" w:cs="Noto Serif"/>
          <w:color w:val="545454"/>
          <w:sz w:val="22"/>
          <w:szCs w:val="22"/>
        </w:rPr>
        <w:t xml:space="preserve">, la antracología, la </w:t>
      </w:r>
      <w:proofErr w:type="spellStart"/>
      <w:r w:rsidRPr="00507CB8">
        <w:rPr>
          <w:rFonts w:ascii="Noto Serif" w:hAnsi="Noto Serif" w:cs="Noto Serif"/>
          <w:color w:val="545454"/>
          <w:sz w:val="22"/>
          <w:szCs w:val="22"/>
        </w:rPr>
        <w:t>arqueomorfología</w:t>
      </w:r>
      <w:proofErr w:type="spellEnd"/>
      <w:r w:rsidRPr="00507CB8">
        <w:rPr>
          <w:rFonts w:ascii="Noto Serif" w:hAnsi="Noto Serif" w:cs="Noto Serif"/>
          <w:color w:val="545454"/>
          <w:sz w:val="22"/>
          <w:szCs w:val="22"/>
        </w:rPr>
        <w:t>, la topografía…), que han aplicado en su labor una gran innovación tecnológica.</w:t>
      </w:r>
    </w:p>
    <w:p w14:paraId="51CDDC4F"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lastRenderedPageBreak/>
        <w:t>Los resultados de la investigación del ICAC en el Valle de Núria han permitido acumular </w:t>
      </w:r>
      <w:r w:rsidRPr="00507CB8">
        <w:rPr>
          <w:rStyle w:val="Textoennegrita"/>
          <w:rFonts w:ascii="Noto Serif" w:hAnsi="Noto Serif" w:cs="Noto Serif"/>
          <w:color w:val="545454"/>
          <w:sz w:val="22"/>
          <w:szCs w:val="22"/>
        </w:rPr>
        <w:t>un conocimiento exhaustivo de la evolución histórica de este paisaje de alta montaña de los Pirineos</w:t>
      </w:r>
      <w:r w:rsidRPr="00507CB8">
        <w:rPr>
          <w:rFonts w:ascii="Noto Serif" w:hAnsi="Noto Serif" w:cs="Noto Serif"/>
          <w:color w:val="545454"/>
          <w:sz w:val="22"/>
          <w:szCs w:val="22"/>
        </w:rPr>
        <w:t>, de los efectos que ha tenido en él la acción humana y su explotación; así como la caracterización de la evolución diacrónica de la ocupación del territorio, desde la Prehistoria hasta nuestros días.</w:t>
      </w:r>
    </w:p>
    <w:p w14:paraId="6189AAEC" w14:textId="15CD7488" w:rsidR="00507CB8" w:rsidRPr="00507CB8" w:rsidRDefault="00507CB8" w:rsidP="00507CB8">
      <w:pPr>
        <w:rPr>
          <w:rFonts w:ascii="Times New Roman" w:hAnsi="Times New Roman" w:cs="Times New Roman"/>
          <w:lang w:val="es-ES"/>
        </w:rPr>
      </w:pPr>
      <w:r w:rsidRPr="00507CB8">
        <w:rPr>
          <w:noProof/>
          <w:lang w:val="es-ES"/>
        </w:rPr>
        <w:drawing>
          <wp:inline distT="0" distB="0" distL="0" distR="0" wp14:anchorId="23549AFA" wp14:editId="1FF1AED9">
            <wp:extent cx="5400040" cy="4055110"/>
            <wp:effectExtent l="0" t="0" r="0" b="2540"/>
            <wp:docPr id="14" name="Imagen 14" descr="Personas sentadas en una ro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Personas sentadas en una roca&#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055110"/>
                    </a:xfrm>
                    <a:prstGeom prst="rect">
                      <a:avLst/>
                    </a:prstGeom>
                    <a:noFill/>
                    <a:ln>
                      <a:noFill/>
                    </a:ln>
                  </pic:spPr>
                </pic:pic>
              </a:graphicData>
            </a:graphic>
          </wp:inline>
        </w:drawing>
      </w:r>
      <w:r w:rsidRPr="00507CB8">
        <w:rPr>
          <w:rFonts w:ascii="Noto Serif" w:eastAsia="Times New Roman" w:hAnsi="Noto Serif" w:cs="Noto Serif"/>
          <w:color w:val="808080"/>
          <w:sz w:val="20"/>
          <w:szCs w:val="20"/>
          <w:shd w:val="clear" w:color="auto" w:fill="FFFFFF"/>
          <w:lang w:val="es-ES" w:eastAsia="zh-CN"/>
        </w:rPr>
        <w:t xml:space="preserve">Trabajos </w:t>
      </w:r>
      <w:proofErr w:type="spellStart"/>
      <w:r w:rsidRPr="00507CB8">
        <w:rPr>
          <w:rFonts w:ascii="Noto Serif" w:eastAsia="Times New Roman" w:hAnsi="Noto Serif" w:cs="Noto Serif"/>
          <w:color w:val="808080"/>
          <w:sz w:val="20"/>
          <w:szCs w:val="20"/>
          <w:shd w:val="clear" w:color="auto" w:fill="FFFFFF"/>
          <w:lang w:val="es-ES" w:eastAsia="zh-CN"/>
        </w:rPr>
        <w:t>geoarqueológicos</w:t>
      </w:r>
      <w:proofErr w:type="spellEnd"/>
      <w:r w:rsidRPr="00507CB8">
        <w:rPr>
          <w:rFonts w:ascii="Noto Serif" w:eastAsia="Times New Roman" w:hAnsi="Noto Serif" w:cs="Noto Serif"/>
          <w:color w:val="808080"/>
          <w:sz w:val="20"/>
          <w:szCs w:val="20"/>
          <w:shd w:val="clear" w:color="auto" w:fill="FFFFFF"/>
          <w:lang w:val="es-ES" w:eastAsia="zh-CN"/>
        </w:rPr>
        <w:t xml:space="preserve"> en la cueva prehistórica del «</w:t>
      </w:r>
      <w:proofErr w:type="spellStart"/>
      <w:r w:rsidRPr="00507CB8">
        <w:rPr>
          <w:rFonts w:ascii="Noto Serif" w:eastAsia="Times New Roman" w:hAnsi="Noto Serif" w:cs="Noto Serif"/>
          <w:color w:val="808080"/>
          <w:sz w:val="20"/>
          <w:szCs w:val="20"/>
          <w:shd w:val="clear" w:color="auto" w:fill="FFFFFF"/>
          <w:lang w:val="es-ES" w:eastAsia="zh-CN"/>
        </w:rPr>
        <w:t>Catau</w:t>
      </w:r>
      <w:proofErr w:type="spellEnd"/>
      <w:r w:rsidRPr="00507CB8">
        <w:rPr>
          <w:rFonts w:ascii="Noto Serif" w:eastAsia="Times New Roman" w:hAnsi="Noto Serif" w:cs="Noto Serif"/>
          <w:color w:val="808080"/>
          <w:sz w:val="20"/>
          <w:szCs w:val="20"/>
          <w:shd w:val="clear" w:color="auto" w:fill="FFFFFF"/>
          <w:lang w:val="es-ES" w:eastAsia="zh-CN"/>
        </w:rPr>
        <w:t xml:space="preserve"> de </w:t>
      </w:r>
      <w:proofErr w:type="spellStart"/>
      <w:r w:rsidRPr="00507CB8">
        <w:rPr>
          <w:rFonts w:ascii="Noto Serif" w:eastAsia="Times New Roman" w:hAnsi="Noto Serif" w:cs="Noto Serif"/>
          <w:color w:val="808080"/>
          <w:sz w:val="20"/>
          <w:szCs w:val="20"/>
          <w:shd w:val="clear" w:color="auto" w:fill="FFFFFF"/>
          <w:lang w:val="es-ES" w:eastAsia="zh-CN"/>
        </w:rPr>
        <w:t>l’Os</w:t>
      </w:r>
      <w:proofErr w:type="spellEnd"/>
      <w:r w:rsidRPr="00507CB8">
        <w:rPr>
          <w:rFonts w:ascii="Noto Serif" w:eastAsia="Times New Roman" w:hAnsi="Noto Serif" w:cs="Noto Serif"/>
          <w:color w:val="808080"/>
          <w:sz w:val="20"/>
          <w:szCs w:val="20"/>
          <w:shd w:val="clear" w:color="auto" w:fill="FFFFFF"/>
          <w:lang w:val="es-ES" w:eastAsia="zh-CN"/>
        </w:rPr>
        <w:t>», en el «</w:t>
      </w:r>
      <w:proofErr w:type="spellStart"/>
      <w:r w:rsidRPr="00507CB8">
        <w:rPr>
          <w:rFonts w:ascii="Noto Serif" w:eastAsia="Times New Roman" w:hAnsi="Noto Serif" w:cs="Noto Serif"/>
          <w:color w:val="808080"/>
          <w:sz w:val="20"/>
          <w:szCs w:val="20"/>
          <w:shd w:val="clear" w:color="auto" w:fill="FFFFFF"/>
          <w:lang w:val="es-ES" w:eastAsia="zh-CN"/>
        </w:rPr>
        <w:t>Forat</w:t>
      </w:r>
      <w:proofErr w:type="spellEnd"/>
      <w:r w:rsidRPr="00507CB8">
        <w:rPr>
          <w:rFonts w:ascii="Noto Serif" w:eastAsia="Times New Roman" w:hAnsi="Noto Serif" w:cs="Noto Serif"/>
          <w:color w:val="808080"/>
          <w:sz w:val="20"/>
          <w:szCs w:val="20"/>
          <w:shd w:val="clear" w:color="auto" w:fill="FFFFFF"/>
          <w:lang w:val="es-ES" w:eastAsia="zh-CN"/>
        </w:rPr>
        <w:t xml:space="preserve"> de </w:t>
      </w:r>
      <w:proofErr w:type="spellStart"/>
      <w:r w:rsidRPr="00507CB8">
        <w:rPr>
          <w:rFonts w:ascii="Noto Serif" w:eastAsia="Times New Roman" w:hAnsi="Noto Serif" w:cs="Noto Serif"/>
          <w:color w:val="808080"/>
          <w:sz w:val="20"/>
          <w:szCs w:val="20"/>
          <w:shd w:val="clear" w:color="auto" w:fill="FFFFFF"/>
          <w:lang w:val="es-ES" w:eastAsia="zh-CN"/>
        </w:rPr>
        <w:t>l’Embut</w:t>
      </w:r>
      <w:proofErr w:type="spellEnd"/>
      <w:r w:rsidRPr="00507CB8">
        <w:rPr>
          <w:rFonts w:ascii="Noto Serif" w:eastAsia="Times New Roman" w:hAnsi="Noto Serif" w:cs="Noto Serif"/>
          <w:color w:val="808080"/>
          <w:sz w:val="20"/>
          <w:szCs w:val="20"/>
          <w:shd w:val="clear" w:color="auto" w:fill="FFFFFF"/>
          <w:lang w:val="es-ES" w:eastAsia="zh-CN"/>
        </w:rPr>
        <w:t>» (Queralbs, Ripollès). Foto: ICAC, 2017.</w:t>
      </w:r>
    </w:p>
    <w:p w14:paraId="796F12F9"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 </w:t>
      </w:r>
    </w:p>
    <w:p w14:paraId="3537C23C" w14:textId="77777777" w:rsidR="00507CB8" w:rsidRPr="00507CB8" w:rsidRDefault="00507CB8" w:rsidP="00507CB8">
      <w:pPr>
        <w:pStyle w:val="Ttulo5"/>
        <w:shd w:val="clear" w:color="auto" w:fill="FFFFFF"/>
        <w:spacing w:before="360" w:beforeAutospacing="0" w:after="180" w:afterAutospacing="0"/>
        <w:rPr>
          <w:rFonts w:ascii="Noto Serif" w:hAnsi="Noto Serif" w:cs="Noto Serif"/>
          <w:color w:val="433030"/>
          <w:sz w:val="22"/>
          <w:szCs w:val="22"/>
        </w:rPr>
      </w:pPr>
      <w:r w:rsidRPr="00507CB8">
        <w:rPr>
          <w:rStyle w:val="Textoennegrita"/>
          <w:rFonts w:ascii="Noto Serif" w:hAnsi="Noto Serif" w:cs="Noto Serif"/>
          <w:b/>
          <w:bCs/>
          <w:color w:val="D95016"/>
          <w:sz w:val="22"/>
          <w:szCs w:val="22"/>
        </w:rPr>
        <w:t>Un programa integral de transferencia social sobre el Valle de Núria</w:t>
      </w:r>
    </w:p>
    <w:p w14:paraId="3723414D"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 xml:space="preserve">El proyecto </w:t>
      </w:r>
      <w:proofErr w:type="spellStart"/>
      <w:r w:rsidRPr="00507CB8">
        <w:rPr>
          <w:rFonts w:ascii="Noto Serif" w:hAnsi="Noto Serif" w:cs="Noto Serif"/>
          <w:color w:val="545454"/>
          <w:sz w:val="22"/>
          <w:szCs w:val="22"/>
        </w:rPr>
        <w:t>ArqueoPirenaia</w:t>
      </w:r>
      <w:proofErr w:type="spellEnd"/>
      <w:r w:rsidRPr="00507CB8">
        <w:rPr>
          <w:rFonts w:ascii="Noto Serif" w:hAnsi="Noto Serif" w:cs="Noto Serif"/>
          <w:color w:val="545454"/>
          <w:sz w:val="22"/>
          <w:szCs w:val="22"/>
        </w:rPr>
        <w:t xml:space="preserve"> (FCT-20-17298) tiene por objetivo principal el desarrollo de </w:t>
      </w:r>
      <w:r w:rsidRPr="00507CB8">
        <w:rPr>
          <w:rStyle w:val="Textoennegrita"/>
          <w:rFonts w:ascii="Noto Serif" w:hAnsi="Noto Serif" w:cs="Noto Serif"/>
          <w:color w:val="545454"/>
          <w:sz w:val="22"/>
          <w:szCs w:val="22"/>
        </w:rPr>
        <w:t>nuevos recursos didácticos y de transferencia del conocimiento, de carácter permanente</w:t>
      </w:r>
      <w:r w:rsidRPr="00507CB8">
        <w:rPr>
          <w:rFonts w:ascii="Noto Serif" w:hAnsi="Noto Serif" w:cs="Noto Serif"/>
          <w:color w:val="545454"/>
          <w:sz w:val="22"/>
          <w:szCs w:val="22"/>
        </w:rPr>
        <w:t>, que permitan a la ciudadanía descubrir las características de larga ocupación humana en el Valle de Núria y aproximarse a la arqueología de alta montaña que se desarrolla, desde hace una década, en este sector de los Pirineos.</w:t>
      </w:r>
    </w:p>
    <w:p w14:paraId="5E8D0814" w14:textId="77777777" w:rsidR="00507CB8" w:rsidRPr="00507CB8" w:rsidRDefault="00507CB8" w:rsidP="00507CB8">
      <w:pPr>
        <w:pStyle w:val="NormalWeb"/>
        <w:shd w:val="clear" w:color="auto" w:fill="FFFFFF"/>
        <w:spacing w:before="0" w:beforeAutospacing="0" w:after="180" w:afterAutospacing="0"/>
        <w:ind w:left="284"/>
        <w:rPr>
          <w:rFonts w:ascii="Noto Serif" w:hAnsi="Noto Serif" w:cs="Noto Serif"/>
          <w:b/>
          <w:bCs/>
          <w:color w:val="D36227"/>
          <w:sz w:val="20"/>
          <w:szCs w:val="20"/>
        </w:rPr>
      </w:pPr>
      <w:proofErr w:type="spellStart"/>
      <w:r w:rsidRPr="00507CB8">
        <w:rPr>
          <w:rFonts w:ascii="Noto Serif" w:hAnsi="Noto Serif" w:cs="Noto Serif"/>
          <w:b/>
          <w:bCs/>
          <w:color w:val="D36227"/>
          <w:sz w:val="20"/>
          <w:szCs w:val="20"/>
        </w:rPr>
        <w:t>ArqueoPirenaia</w:t>
      </w:r>
      <w:proofErr w:type="spellEnd"/>
      <w:r w:rsidRPr="00507CB8">
        <w:rPr>
          <w:rFonts w:ascii="Noto Serif" w:hAnsi="Noto Serif" w:cs="Noto Serif"/>
          <w:b/>
          <w:bCs/>
          <w:color w:val="D36227"/>
          <w:sz w:val="20"/>
          <w:szCs w:val="20"/>
        </w:rPr>
        <w:t xml:space="preserve"> es un proyecto pionero en la mediación inclusiva del patrimonio cultural.</w:t>
      </w:r>
    </w:p>
    <w:p w14:paraId="637BD0B0" w14:textId="33C6129F" w:rsid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lastRenderedPageBreak/>
        <w:t>Cabe destacar que todos los recursos didácticos y divulgativos que se generen incorporarán los </w:t>
      </w:r>
      <w:r w:rsidRPr="00507CB8">
        <w:rPr>
          <w:rStyle w:val="Textoennegrita"/>
          <w:rFonts w:ascii="Noto Serif" w:hAnsi="Noto Serif" w:cs="Noto Serif"/>
          <w:color w:val="545454"/>
          <w:sz w:val="22"/>
          <w:szCs w:val="22"/>
        </w:rPr>
        <w:t>criterios de accesibilidad universal</w:t>
      </w:r>
      <w:r w:rsidRPr="00507CB8">
        <w:rPr>
          <w:rFonts w:ascii="Noto Serif" w:hAnsi="Noto Serif" w:cs="Noto Serif"/>
          <w:color w:val="545454"/>
          <w:sz w:val="22"/>
          <w:szCs w:val="22"/>
        </w:rPr>
        <w:t xml:space="preserve">, convirtiendo </w:t>
      </w:r>
      <w:proofErr w:type="spellStart"/>
      <w:r w:rsidRPr="00507CB8">
        <w:rPr>
          <w:rFonts w:ascii="Noto Serif" w:hAnsi="Noto Serif" w:cs="Noto Serif"/>
          <w:color w:val="545454"/>
          <w:sz w:val="22"/>
          <w:szCs w:val="22"/>
        </w:rPr>
        <w:t>ArqueoPirenaia</w:t>
      </w:r>
      <w:proofErr w:type="spellEnd"/>
      <w:r w:rsidRPr="00507CB8">
        <w:rPr>
          <w:rFonts w:ascii="Noto Serif" w:hAnsi="Noto Serif" w:cs="Noto Serif"/>
          <w:color w:val="545454"/>
          <w:sz w:val="22"/>
          <w:szCs w:val="22"/>
        </w:rPr>
        <w:t xml:space="preserve"> en un proyecto pionero en la mediación inclusiva del patrimonio cultural. Por otro lado, la propuesta del proyecto </w:t>
      </w:r>
      <w:proofErr w:type="spellStart"/>
      <w:r w:rsidRPr="00507CB8">
        <w:rPr>
          <w:rFonts w:ascii="Noto Serif" w:hAnsi="Noto Serif" w:cs="Noto Serif"/>
          <w:color w:val="545454"/>
          <w:sz w:val="22"/>
          <w:szCs w:val="22"/>
        </w:rPr>
        <w:t>ArqueoPirenaia</w:t>
      </w:r>
      <w:proofErr w:type="spellEnd"/>
      <w:r w:rsidRPr="00507CB8">
        <w:rPr>
          <w:rFonts w:ascii="Noto Serif" w:hAnsi="Noto Serif" w:cs="Noto Serif"/>
          <w:color w:val="545454"/>
          <w:sz w:val="22"/>
          <w:szCs w:val="22"/>
        </w:rPr>
        <w:t xml:space="preserve"> se fundamenta en la participación, la </w:t>
      </w:r>
      <w:proofErr w:type="spellStart"/>
      <w:r w:rsidRPr="00507CB8">
        <w:rPr>
          <w:rFonts w:ascii="Noto Serif" w:hAnsi="Noto Serif" w:cs="Noto Serif"/>
          <w:color w:val="545454"/>
          <w:sz w:val="22"/>
          <w:szCs w:val="22"/>
        </w:rPr>
        <w:t>cocreación</w:t>
      </w:r>
      <w:proofErr w:type="spellEnd"/>
      <w:r w:rsidRPr="00507CB8">
        <w:rPr>
          <w:rFonts w:ascii="Noto Serif" w:hAnsi="Noto Serif" w:cs="Noto Serif"/>
          <w:color w:val="545454"/>
          <w:sz w:val="22"/>
          <w:szCs w:val="22"/>
        </w:rPr>
        <w:t xml:space="preserve"> y la gobernanza de los agentes locales en todas las etapas del proyecto.</w:t>
      </w:r>
    </w:p>
    <w:p w14:paraId="50C52F35"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p>
    <w:p w14:paraId="2001DF95" w14:textId="77777777" w:rsidR="00507CB8" w:rsidRPr="00507CB8" w:rsidRDefault="00507CB8" w:rsidP="00507CB8">
      <w:pPr>
        <w:pStyle w:val="NormalWeb"/>
        <w:shd w:val="clear" w:color="auto" w:fill="FAECE5"/>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 xml:space="preserve">El proyecto </w:t>
      </w:r>
      <w:proofErr w:type="spellStart"/>
      <w:r w:rsidRPr="00507CB8">
        <w:rPr>
          <w:rFonts w:ascii="Noto Serif" w:hAnsi="Noto Serif" w:cs="Noto Serif"/>
          <w:color w:val="545454"/>
          <w:sz w:val="22"/>
          <w:szCs w:val="22"/>
        </w:rPr>
        <w:t>ArqueoPirenaia</w:t>
      </w:r>
      <w:proofErr w:type="spellEnd"/>
      <w:r w:rsidRPr="00507CB8">
        <w:rPr>
          <w:rFonts w:ascii="Noto Serif" w:hAnsi="Noto Serif" w:cs="Noto Serif"/>
          <w:color w:val="545454"/>
          <w:sz w:val="22"/>
          <w:szCs w:val="22"/>
        </w:rPr>
        <w:t xml:space="preserve"> propone la creación de un conjunto de cuatro acciones didácticas que explicarán y garantizarán el </w:t>
      </w:r>
      <w:r w:rsidRPr="00507CB8">
        <w:rPr>
          <w:rStyle w:val="Textoennegrita"/>
          <w:rFonts w:ascii="Noto Serif" w:hAnsi="Noto Serif" w:cs="Noto Serif"/>
          <w:color w:val="545454"/>
          <w:sz w:val="22"/>
          <w:szCs w:val="22"/>
        </w:rPr>
        <w:t>impacto social</w:t>
      </w:r>
      <w:r w:rsidRPr="00507CB8">
        <w:rPr>
          <w:rFonts w:ascii="Noto Serif" w:hAnsi="Noto Serif" w:cs="Noto Serif"/>
          <w:color w:val="545454"/>
          <w:sz w:val="22"/>
          <w:szCs w:val="22"/>
        </w:rPr>
        <w:t> de los resultados del proyecto, y que se dirigen a la ciudadanía y al territorio.</w:t>
      </w:r>
    </w:p>
    <w:p w14:paraId="19D19309" w14:textId="77777777" w:rsidR="00507CB8" w:rsidRDefault="00507CB8" w:rsidP="00507CB8">
      <w:pPr>
        <w:pStyle w:val="NormalWeb"/>
        <w:shd w:val="clear" w:color="auto" w:fill="FFFFFF"/>
        <w:spacing w:before="0" w:beforeAutospacing="0" w:after="180" w:afterAutospacing="0"/>
        <w:rPr>
          <w:rStyle w:val="Textoennegrita"/>
          <w:rFonts w:ascii="Noto Serif" w:hAnsi="Noto Serif" w:cs="Noto Serif"/>
          <w:color w:val="D95016"/>
          <w:sz w:val="22"/>
          <w:szCs w:val="22"/>
        </w:rPr>
      </w:pPr>
    </w:p>
    <w:p w14:paraId="02EB2356" w14:textId="37B0EF1A"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Style w:val="Textoennegrita"/>
          <w:rFonts w:ascii="Noto Serif" w:hAnsi="Noto Serif" w:cs="Noto Serif"/>
          <w:color w:val="D95016"/>
          <w:sz w:val="22"/>
          <w:szCs w:val="22"/>
        </w:rPr>
        <w:t xml:space="preserve">1. Espacio virtual </w:t>
      </w:r>
      <w:proofErr w:type="spellStart"/>
      <w:r w:rsidRPr="00507CB8">
        <w:rPr>
          <w:rStyle w:val="Textoennegrita"/>
          <w:rFonts w:ascii="Noto Serif" w:hAnsi="Noto Serif" w:cs="Noto Serif"/>
          <w:color w:val="D95016"/>
          <w:sz w:val="22"/>
          <w:szCs w:val="22"/>
        </w:rPr>
        <w:t>ArqueoPirenaia</w:t>
      </w:r>
      <w:proofErr w:type="spellEnd"/>
      <w:r w:rsidRPr="00507CB8">
        <w:rPr>
          <w:rStyle w:val="Textoennegrita"/>
          <w:rFonts w:ascii="Noto Serif" w:hAnsi="Noto Serif" w:cs="Noto Serif"/>
          <w:color w:val="D95016"/>
          <w:sz w:val="22"/>
          <w:szCs w:val="22"/>
        </w:rPr>
        <w:t xml:space="preserve"> en dispositivos móviles</w:t>
      </w:r>
    </w:p>
    <w:p w14:paraId="11B7434E"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Creación de una </w:t>
      </w:r>
      <w:r w:rsidRPr="00507CB8">
        <w:rPr>
          <w:rStyle w:val="Textoennegrita"/>
          <w:rFonts w:ascii="Noto Serif" w:hAnsi="Noto Serif" w:cs="Noto Serif"/>
          <w:color w:val="545454"/>
          <w:sz w:val="22"/>
          <w:szCs w:val="22"/>
        </w:rPr>
        <w:t>web</w:t>
      </w:r>
      <w:r w:rsidRPr="00507CB8">
        <w:rPr>
          <w:rFonts w:ascii="Noto Serif" w:hAnsi="Noto Serif" w:cs="Noto Serif"/>
          <w:color w:val="545454"/>
          <w:sz w:val="22"/>
          <w:szCs w:val="22"/>
        </w:rPr>
        <w:t xml:space="preserve"> dedicada a la mediación científica, arqueológica y patrimonial del Valle de Núria. La web permitirá divulgar entre la ciudadanía los resultados científicos de la investigación llevada a cabo por el </w:t>
      </w:r>
      <w:proofErr w:type="spellStart"/>
      <w:r w:rsidRPr="00507CB8">
        <w:rPr>
          <w:rFonts w:ascii="Noto Serif" w:hAnsi="Noto Serif" w:cs="Noto Serif"/>
          <w:color w:val="545454"/>
          <w:sz w:val="22"/>
          <w:szCs w:val="22"/>
        </w:rPr>
        <w:t>GIAP</w:t>
      </w:r>
      <w:proofErr w:type="spellEnd"/>
      <w:r w:rsidRPr="00507CB8">
        <w:rPr>
          <w:rFonts w:ascii="Noto Serif" w:hAnsi="Noto Serif" w:cs="Noto Serif"/>
          <w:color w:val="545454"/>
          <w:sz w:val="22"/>
          <w:szCs w:val="22"/>
        </w:rPr>
        <w:t xml:space="preserve"> (ICAC) los últimos diez años y actualizará los recursos existentes (como las </w:t>
      </w:r>
      <w:proofErr w:type="spellStart"/>
      <w:r w:rsidRPr="00507CB8">
        <w:rPr>
          <w:rFonts w:ascii="Noto Serif" w:hAnsi="Noto Serif" w:cs="Noto Serif"/>
          <w:color w:val="545454"/>
          <w:sz w:val="22"/>
          <w:szCs w:val="22"/>
        </w:rPr>
        <w:fldChar w:fldCharType="begin"/>
      </w:r>
      <w:r w:rsidRPr="00507CB8">
        <w:rPr>
          <w:rFonts w:ascii="Noto Serif" w:hAnsi="Noto Serif" w:cs="Noto Serif"/>
          <w:color w:val="545454"/>
          <w:sz w:val="22"/>
          <w:szCs w:val="22"/>
        </w:rPr>
        <w:instrText xml:space="preserve"> HYPERLINK "https://icac.cat/es/actualitat/noticies/2019/arqueorutas-itinerarios-de-interes-arqueologico-un-ejemplo-de-transferencia-del-conocimiento/" \t "_blank" </w:instrText>
      </w:r>
      <w:r w:rsidRPr="00507CB8">
        <w:rPr>
          <w:rFonts w:ascii="Noto Serif" w:hAnsi="Noto Serif" w:cs="Noto Serif"/>
          <w:color w:val="545454"/>
          <w:sz w:val="22"/>
          <w:szCs w:val="22"/>
        </w:rPr>
        <w:fldChar w:fldCharType="separate"/>
      </w:r>
      <w:r w:rsidRPr="00507CB8">
        <w:rPr>
          <w:rStyle w:val="Textoennegrita"/>
          <w:rFonts w:ascii="Noto Serif" w:hAnsi="Noto Serif" w:cs="Noto Serif"/>
          <w:color w:val="9C2439"/>
          <w:sz w:val="22"/>
          <w:szCs w:val="22"/>
        </w:rPr>
        <w:t>Arqueorutas</w:t>
      </w:r>
      <w:proofErr w:type="spellEnd"/>
      <w:r w:rsidRPr="00507CB8">
        <w:rPr>
          <w:rFonts w:ascii="Noto Serif" w:hAnsi="Noto Serif" w:cs="Noto Serif"/>
          <w:color w:val="545454"/>
          <w:sz w:val="22"/>
          <w:szCs w:val="22"/>
        </w:rPr>
        <w:fldChar w:fldCharType="end"/>
      </w:r>
      <w:r w:rsidRPr="00507CB8">
        <w:rPr>
          <w:rFonts w:ascii="Noto Serif" w:hAnsi="Noto Serif" w:cs="Noto Serif"/>
          <w:color w:val="545454"/>
          <w:sz w:val="22"/>
          <w:szCs w:val="22"/>
        </w:rPr>
        <w:t>) para que resulten más dinámicos y accesibles.</w:t>
      </w:r>
    </w:p>
    <w:p w14:paraId="34977019" w14:textId="77777777" w:rsidR="00507CB8" w:rsidRDefault="00507CB8" w:rsidP="00507CB8">
      <w:pPr>
        <w:pStyle w:val="NormalWeb"/>
        <w:shd w:val="clear" w:color="auto" w:fill="FFFFFF"/>
        <w:spacing w:before="0" w:beforeAutospacing="0" w:after="180" w:afterAutospacing="0"/>
        <w:rPr>
          <w:rStyle w:val="Textoennegrita"/>
          <w:rFonts w:ascii="Noto Serif" w:hAnsi="Noto Serif" w:cs="Noto Serif"/>
          <w:color w:val="D95016"/>
          <w:sz w:val="22"/>
          <w:szCs w:val="22"/>
        </w:rPr>
      </w:pPr>
    </w:p>
    <w:p w14:paraId="3E9DCF7F" w14:textId="18028AE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Style w:val="Textoennegrita"/>
          <w:rFonts w:ascii="Noto Serif" w:hAnsi="Noto Serif" w:cs="Noto Serif"/>
          <w:color w:val="D95016"/>
          <w:sz w:val="22"/>
          <w:szCs w:val="22"/>
        </w:rPr>
        <w:t xml:space="preserve">2. Espacio itinerante «Paisajes Trashumantes: descifrando la investigación arqueológica y el patrimonio en las cabeceras de los ríos Ter y </w:t>
      </w:r>
      <w:proofErr w:type="spellStart"/>
      <w:r w:rsidRPr="00507CB8">
        <w:rPr>
          <w:rStyle w:val="Textoennegrita"/>
          <w:rFonts w:ascii="Noto Serif" w:hAnsi="Noto Serif" w:cs="Noto Serif"/>
          <w:color w:val="D95016"/>
          <w:sz w:val="22"/>
          <w:szCs w:val="22"/>
        </w:rPr>
        <w:t>Feser</w:t>
      </w:r>
      <w:proofErr w:type="spellEnd"/>
      <w:r w:rsidRPr="00507CB8">
        <w:rPr>
          <w:rStyle w:val="Textoennegrita"/>
          <w:rFonts w:ascii="Noto Serif" w:hAnsi="Noto Serif" w:cs="Noto Serif"/>
          <w:color w:val="D95016"/>
          <w:sz w:val="22"/>
          <w:szCs w:val="22"/>
        </w:rPr>
        <w:t xml:space="preserve"> (Valle de Núria y Coma de Vaca)»</w:t>
      </w:r>
    </w:p>
    <w:p w14:paraId="472E028B"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Se creará una </w:t>
      </w:r>
      <w:r w:rsidRPr="00507CB8">
        <w:rPr>
          <w:rStyle w:val="Textoennegrita"/>
          <w:rFonts w:ascii="Noto Serif" w:hAnsi="Noto Serif" w:cs="Noto Serif"/>
          <w:color w:val="545454"/>
          <w:sz w:val="22"/>
          <w:szCs w:val="22"/>
        </w:rPr>
        <w:t>exposición itinerante</w:t>
      </w:r>
      <w:r w:rsidRPr="00507CB8">
        <w:rPr>
          <w:rFonts w:ascii="Noto Serif" w:hAnsi="Noto Serif" w:cs="Noto Serif"/>
          <w:color w:val="545454"/>
          <w:sz w:val="22"/>
          <w:szCs w:val="22"/>
        </w:rPr>
        <w:t>, vinculada al </w:t>
      </w:r>
      <w:hyperlink r:id="rId10" w:tgtFrame="_blank" w:history="1">
        <w:r w:rsidRPr="00507CB8">
          <w:rPr>
            <w:rStyle w:val="Hipervnculo"/>
            <w:rFonts w:ascii="Noto Serif" w:hAnsi="Noto Serif" w:cs="Noto Serif"/>
            <w:color w:val="9C2439"/>
            <w:sz w:val="22"/>
            <w:szCs w:val="22"/>
          </w:rPr>
          <w:t>Centro de Interpretación de la Estación Valle de Núria</w:t>
        </w:r>
      </w:hyperlink>
      <w:r w:rsidRPr="00507CB8">
        <w:rPr>
          <w:rFonts w:ascii="Noto Serif" w:hAnsi="Noto Serif" w:cs="Noto Serif"/>
          <w:color w:val="545454"/>
          <w:sz w:val="22"/>
          <w:szCs w:val="22"/>
        </w:rPr>
        <w:t xml:space="preserve">, que explique los resultados de los proyectos de </w:t>
      </w:r>
      <w:proofErr w:type="spellStart"/>
      <w:r w:rsidRPr="00507CB8">
        <w:rPr>
          <w:rFonts w:ascii="Noto Serif" w:hAnsi="Noto Serif" w:cs="Noto Serif"/>
          <w:color w:val="545454"/>
          <w:sz w:val="22"/>
          <w:szCs w:val="22"/>
        </w:rPr>
        <w:t>I+D</w:t>
      </w:r>
      <w:proofErr w:type="spellEnd"/>
      <w:r w:rsidRPr="00507CB8">
        <w:rPr>
          <w:rFonts w:ascii="Noto Serif" w:hAnsi="Noto Serif" w:cs="Noto Serif"/>
          <w:color w:val="545454"/>
          <w:sz w:val="22"/>
          <w:szCs w:val="22"/>
        </w:rPr>
        <w:t xml:space="preserve"> desarrollados por el ICAC en este sector de los Pirineos. La itinerancia llevará la exposición por distintos puntos del territorio y podrá beneficiar así otros equipamientos culturales locales, como el </w:t>
      </w:r>
      <w:hyperlink r:id="rId11" w:tgtFrame="_blank" w:history="1">
        <w:r w:rsidRPr="00507CB8">
          <w:rPr>
            <w:rStyle w:val="Hipervnculo"/>
            <w:rFonts w:ascii="Noto Serif" w:hAnsi="Noto Serif" w:cs="Noto Serif"/>
            <w:color w:val="9C2439"/>
            <w:sz w:val="22"/>
            <w:szCs w:val="22"/>
          </w:rPr>
          <w:t>Museo Etnográfico de Ripoll</w:t>
        </w:r>
      </w:hyperlink>
      <w:r w:rsidRPr="00507CB8">
        <w:rPr>
          <w:rFonts w:ascii="Noto Serif" w:hAnsi="Noto Serif" w:cs="Noto Serif"/>
          <w:color w:val="545454"/>
          <w:sz w:val="22"/>
          <w:szCs w:val="22"/>
        </w:rPr>
        <w:t>, el </w:t>
      </w:r>
      <w:hyperlink r:id="rId12" w:tgtFrame="_blank" w:history="1">
        <w:r w:rsidRPr="00507CB8">
          <w:rPr>
            <w:rStyle w:val="Hipervnculo"/>
            <w:rFonts w:ascii="Noto Serif" w:hAnsi="Noto Serif" w:cs="Noto Serif"/>
            <w:color w:val="9C2439"/>
            <w:sz w:val="22"/>
            <w:szCs w:val="22"/>
          </w:rPr>
          <w:t xml:space="preserve">Parque Natural de las Cabeceras del Ter y </w:t>
        </w:r>
        <w:proofErr w:type="spellStart"/>
        <w:r w:rsidRPr="00507CB8">
          <w:rPr>
            <w:rStyle w:val="Hipervnculo"/>
            <w:rFonts w:ascii="Noto Serif" w:hAnsi="Noto Serif" w:cs="Noto Serif"/>
            <w:color w:val="9C2439"/>
            <w:sz w:val="22"/>
            <w:szCs w:val="22"/>
          </w:rPr>
          <w:t>Freser</w:t>
        </w:r>
        <w:proofErr w:type="spellEnd"/>
      </w:hyperlink>
      <w:r w:rsidRPr="00507CB8">
        <w:rPr>
          <w:rFonts w:ascii="Noto Serif" w:hAnsi="Noto Serif" w:cs="Noto Serif"/>
          <w:color w:val="545454"/>
          <w:sz w:val="22"/>
          <w:szCs w:val="22"/>
        </w:rPr>
        <w:t xml:space="preserve"> o los centros cívicos y culturales de los municipios implicados (Queralbs y Ribes de </w:t>
      </w:r>
      <w:proofErr w:type="spellStart"/>
      <w:r w:rsidRPr="00507CB8">
        <w:rPr>
          <w:rFonts w:ascii="Noto Serif" w:hAnsi="Noto Serif" w:cs="Noto Serif"/>
          <w:color w:val="545454"/>
          <w:sz w:val="22"/>
          <w:szCs w:val="22"/>
        </w:rPr>
        <w:t>Freser</w:t>
      </w:r>
      <w:proofErr w:type="spellEnd"/>
      <w:r w:rsidRPr="00507CB8">
        <w:rPr>
          <w:rFonts w:ascii="Noto Serif" w:hAnsi="Noto Serif" w:cs="Noto Serif"/>
          <w:color w:val="545454"/>
          <w:sz w:val="22"/>
          <w:szCs w:val="22"/>
        </w:rPr>
        <w:t>).</w:t>
      </w:r>
    </w:p>
    <w:p w14:paraId="4B246C4E"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Un aspecto que destacar de esta acción es que la exposición incorporará </w:t>
      </w:r>
      <w:hyperlink r:id="rId13" w:history="1">
        <w:r w:rsidRPr="00507CB8">
          <w:rPr>
            <w:rStyle w:val="Hipervnculo"/>
            <w:rFonts w:ascii="Noto Serif" w:hAnsi="Noto Serif" w:cs="Noto Serif"/>
            <w:b/>
            <w:bCs/>
            <w:color w:val="9C2439"/>
            <w:sz w:val="22"/>
            <w:szCs w:val="22"/>
          </w:rPr>
          <w:t xml:space="preserve">códigos </w:t>
        </w:r>
        <w:proofErr w:type="spellStart"/>
        <w:r w:rsidRPr="00507CB8">
          <w:rPr>
            <w:rStyle w:val="Hipervnculo"/>
            <w:rFonts w:ascii="Noto Serif" w:hAnsi="Noto Serif" w:cs="Noto Serif"/>
            <w:b/>
            <w:bCs/>
            <w:color w:val="9C2439"/>
            <w:sz w:val="22"/>
            <w:szCs w:val="22"/>
          </w:rPr>
          <w:t>Navilens</w:t>
        </w:r>
        <w:proofErr w:type="spellEnd"/>
      </w:hyperlink>
      <w:r w:rsidRPr="00507CB8">
        <w:rPr>
          <w:rFonts w:ascii="Noto Serif" w:hAnsi="Noto Serif" w:cs="Noto Serif"/>
          <w:color w:val="545454"/>
          <w:sz w:val="22"/>
          <w:szCs w:val="22"/>
        </w:rPr>
        <w:t> para facilitar el acceso a los contenidos a personas con déficit sensorial o cognitivo. La </w:t>
      </w:r>
      <w:hyperlink r:id="rId14" w:tgtFrame="_blank" w:history="1">
        <w:r w:rsidRPr="00507CB8">
          <w:rPr>
            <w:rStyle w:val="Hipervnculo"/>
            <w:rFonts w:ascii="Noto Serif" w:hAnsi="Noto Serif" w:cs="Noto Serif"/>
            <w:color w:val="9C2439"/>
            <w:sz w:val="22"/>
            <w:szCs w:val="22"/>
          </w:rPr>
          <w:t xml:space="preserve">tecnología </w:t>
        </w:r>
        <w:proofErr w:type="spellStart"/>
        <w:r w:rsidRPr="00507CB8">
          <w:rPr>
            <w:rStyle w:val="Hipervnculo"/>
            <w:rFonts w:ascii="Noto Serif" w:hAnsi="Noto Serif" w:cs="Noto Serif"/>
            <w:color w:val="9C2439"/>
            <w:sz w:val="22"/>
            <w:szCs w:val="22"/>
          </w:rPr>
          <w:t>Navilens</w:t>
        </w:r>
        <w:proofErr w:type="spellEnd"/>
      </w:hyperlink>
      <w:r w:rsidRPr="00507CB8">
        <w:rPr>
          <w:rFonts w:ascii="Noto Serif" w:hAnsi="Noto Serif" w:cs="Noto Serif"/>
          <w:color w:val="545454"/>
          <w:sz w:val="22"/>
          <w:szCs w:val="22"/>
        </w:rPr>
        <w:t> está revolucionando la accesibilidad y la inclusión universal.</w:t>
      </w:r>
    </w:p>
    <w:p w14:paraId="4F5BD60F" w14:textId="01024CEB" w:rsidR="00507CB8" w:rsidRPr="00507CB8" w:rsidRDefault="00507CB8" w:rsidP="00507CB8">
      <w:pPr>
        <w:rPr>
          <w:rFonts w:ascii="Times New Roman" w:hAnsi="Times New Roman" w:cs="Times New Roman"/>
          <w:lang w:val="es-ES"/>
        </w:rPr>
      </w:pPr>
      <w:r w:rsidRPr="00507CB8">
        <w:rPr>
          <w:noProof/>
          <w:lang w:val="es-ES"/>
        </w:rPr>
        <w:lastRenderedPageBreak/>
        <w:drawing>
          <wp:inline distT="0" distB="0" distL="0" distR="0" wp14:anchorId="7FCA3BFD" wp14:editId="3F10C27F">
            <wp:extent cx="5400040" cy="3036570"/>
            <wp:effectExtent l="0" t="0" r="0" b="0"/>
            <wp:docPr id="9" name="Imagen 9" descr="Persona parada junto a una cerc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Persona parada junto a una cerca de madera&#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036570"/>
                    </a:xfrm>
                    <a:prstGeom prst="rect">
                      <a:avLst/>
                    </a:prstGeom>
                    <a:noFill/>
                    <a:ln>
                      <a:noFill/>
                    </a:ln>
                  </pic:spPr>
                </pic:pic>
              </a:graphicData>
            </a:graphic>
          </wp:inline>
        </w:drawing>
      </w:r>
      <w:r w:rsidRPr="00507CB8">
        <w:rPr>
          <w:rFonts w:ascii="Noto Serif" w:eastAsia="Times New Roman" w:hAnsi="Noto Serif" w:cs="Noto Serif"/>
          <w:color w:val="808080"/>
          <w:sz w:val="20"/>
          <w:szCs w:val="20"/>
          <w:shd w:val="clear" w:color="auto" w:fill="FFFFFF"/>
          <w:lang w:val="es-ES" w:eastAsia="zh-CN"/>
        </w:rPr>
        <w:t xml:space="preserve">Uno de los ejemplos de códigos </w:t>
      </w:r>
      <w:proofErr w:type="spellStart"/>
      <w:r w:rsidRPr="00507CB8">
        <w:rPr>
          <w:rFonts w:ascii="Noto Serif" w:eastAsia="Times New Roman" w:hAnsi="Noto Serif" w:cs="Noto Serif"/>
          <w:color w:val="808080"/>
          <w:sz w:val="20"/>
          <w:szCs w:val="20"/>
          <w:shd w:val="clear" w:color="auto" w:fill="FFFFFF"/>
          <w:lang w:val="es-ES" w:eastAsia="zh-CN"/>
        </w:rPr>
        <w:t>Navilens</w:t>
      </w:r>
      <w:proofErr w:type="spellEnd"/>
      <w:r w:rsidRPr="00507CB8">
        <w:rPr>
          <w:rFonts w:ascii="Noto Serif" w:eastAsia="Times New Roman" w:hAnsi="Noto Serif" w:cs="Noto Serif"/>
          <w:color w:val="808080"/>
          <w:sz w:val="20"/>
          <w:szCs w:val="20"/>
          <w:shd w:val="clear" w:color="auto" w:fill="FFFFFF"/>
          <w:lang w:val="es-ES" w:eastAsia="zh-CN"/>
        </w:rPr>
        <w:t xml:space="preserve"> que la empresa muestra en su web. Imagen: </w:t>
      </w:r>
      <w:proofErr w:type="spellStart"/>
      <w:r w:rsidRPr="00507CB8">
        <w:rPr>
          <w:rFonts w:ascii="Noto Serif" w:eastAsia="Times New Roman" w:hAnsi="Noto Serif" w:cs="Noto Serif"/>
          <w:color w:val="808080"/>
          <w:sz w:val="20"/>
          <w:szCs w:val="20"/>
          <w:shd w:val="clear" w:color="auto" w:fill="FFFFFF"/>
          <w:lang w:val="es-ES" w:eastAsia="zh-CN"/>
        </w:rPr>
        <w:t>Navilens</w:t>
      </w:r>
      <w:proofErr w:type="spellEnd"/>
      <w:r w:rsidRPr="00507CB8">
        <w:rPr>
          <w:rFonts w:ascii="Noto Serif" w:eastAsia="Times New Roman" w:hAnsi="Noto Serif" w:cs="Noto Serif"/>
          <w:color w:val="808080"/>
          <w:sz w:val="20"/>
          <w:szCs w:val="20"/>
          <w:shd w:val="clear" w:color="auto" w:fill="FFFFFF"/>
          <w:lang w:val="es-ES" w:eastAsia="zh-CN"/>
        </w:rPr>
        <w:t xml:space="preserve"> (galería multimedia).</w:t>
      </w:r>
    </w:p>
    <w:p w14:paraId="112FE29B"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 </w:t>
      </w:r>
    </w:p>
    <w:p w14:paraId="75151006"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Style w:val="Textoennegrita"/>
          <w:rFonts w:ascii="Noto Serif" w:hAnsi="Noto Serif" w:cs="Noto Serif"/>
          <w:color w:val="D95016"/>
          <w:sz w:val="22"/>
          <w:szCs w:val="22"/>
        </w:rPr>
        <w:t>3. Maleta didáctica sobre la arqueología de alta montaña en los Pirineos</w:t>
      </w:r>
    </w:p>
    <w:p w14:paraId="4414AD77"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Esta acción propone el desarrollo de una maleta didáctica, especialmente pensada para la </w:t>
      </w:r>
      <w:r w:rsidRPr="00507CB8">
        <w:rPr>
          <w:rStyle w:val="Textoennegrita"/>
          <w:rFonts w:ascii="Noto Serif" w:hAnsi="Noto Serif" w:cs="Noto Serif"/>
          <w:color w:val="545454"/>
          <w:sz w:val="22"/>
          <w:szCs w:val="22"/>
        </w:rPr>
        <w:t>manipulación táctil y la experimentación pedagógica</w:t>
      </w:r>
      <w:r w:rsidRPr="00507CB8">
        <w:rPr>
          <w:rFonts w:ascii="Noto Serif" w:hAnsi="Noto Serif" w:cs="Noto Serif"/>
          <w:color w:val="545454"/>
          <w:sz w:val="22"/>
          <w:szCs w:val="22"/>
        </w:rPr>
        <w:t>, a partir de la cual se descubran las principales características de la arqueología de alta montaña y la acción científica que desarrolla esta disciplina en el territorio. La maleta didáctica se dirige al público familiar, así como a alumnado de educación primaria y primer ciclo de secundaria.</w:t>
      </w:r>
    </w:p>
    <w:p w14:paraId="0E3084FD" w14:textId="77777777" w:rsidR="00507CB8" w:rsidRDefault="00507CB8" w:rsidP="00507CB8">
      <w:pPr>
        <w:pStyle w:val="NormalWeb"/>
        <w:shd w:val="clear" w:color="auto" w:fill="FFFFFF"/>
        <w:spacing w:before="0" w:beforeAutospacing="0" w:after="180" w:afterAutospacing="0"/>
        <w:rPr>
          <w:rStyle w:val="Textoennegrita"/>
          <w:rFonts w:ascii="Noto Serif" w:hAnsi="Noto Serif" w:cs="Noto Serif"/>
          <w:color w:val="D95016"/>
          <w:sz w:val="22"/>
          <w:szCs w:val="22"/>
        </w:rPr>
      </w:pPr>
    </w:p>
    <w:p w14:paraId="684F8EA9" w14:textId="30B4410E"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Style w:val="Textoennegrita"/>
          <w:rFonts w:ascii="Noto Serif" w:hAnsi="Noto Serif" w:cs="Noto Serif"/>
          <w:color w:val="D95016"/>
          <w:sz w:val="22"/>
          <w:szCs w:val="22"/>
        </w:rPr>
        <w:t>4. Circuito patrimonial físico y virtual para la visita y divulgación de los yacimientos del Valle de Núria</w:t>
      </w:r>
    </w:p>
    <w:p w14:paraId="4F20E0D4"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La creación de un circuito permanente de visita a las cabañas de pastor y espacios de explotación pecuaria mejor conservados en el entorno cercano a la Estación. Será un circuito de baja dificultad que permitirá dar a conocer al público general cómo son las estructuras características de la ocupación humana en los parajes de alta montaña de los Pirineos Orientales.</w:t>
      </w:r>
    </w:p>
    <w:p w14:paraId="3B5E1363" w14:textId="766A9BA6" w:rsid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El diseño del circuito incluye la señalización permanente, mediante </w:t>
      </w:r>
      <w:r w:rsidRPr="00507CB8">
        <w:rPr>
          <w:rStyle w:val="Textoennegrita"/>
          <w:rFonts w:ascii="Noto Serif" w:hAnsi="Noto Serif" w:cs="Noto Serif"/>
          <w:color w:val="545454"/>
          <w:sz w:val="22"/>
          <w:szCs w:val="22"/>
        </w:rPr>
        <w:t xml:space="preserve">paneles hápticos que incorporarán también códigos </w:t>
      </w:r>
      <w:proofErr w:type="spellStart"/>
      <w:r w:rsidRPr="00507CB8">
        <w:rPr>
          <w:rStyle w:val="Textoennegrita"/>
          <w:rFonts w:ascii="Noto Serif" w:hAnsi="Noto Serif" w:cs="Noto Serif"/>
          <w:color w:val="545454"/>
          <w:sz w:val="22"/>
          <w:szCs w:val="22"/>
        </w:rPr>
        <w:t>Navilens</w:t>
      </w:r>
      <w:proofErr w:type="spellEnd"/>
      <w:r w:rsidRPr="00507CB8">
        <w:rPr>
          <w:rFonts w:ascii="Noto Serif" w:hAnsi="Noto Serif" w:cs="Noto Serif"/>
          <w:color w:val="545454"/>
          <w:sz w:val="22"/>
          <w:szCs w:val="22"/>
        </w:rPr>
        <w:t xml:space="preserve">. El inicio del circuito se situará en el actual Centro de interpretación del Valle de Núria, en la misma Estación. En paralelo, el circuito será visitable de manera virtual desde la web del proyecto </w:t>
      </w:r>
      <w:proofErr w:type="spellStart"/>
      <w:r w:rsidRPr="00507CB8">
        <w:rPr>
          <w:rFonts w:ascii="Noto Serif" w:hAnsi="Noto Serif" w:cs="Noto Serif"/>
          <w:color w:val="545454"/>
          <w:sz w:val="22"/>
          <w:szCs w:val="22"/>
        </w:rPr>
        <w:t>ArqueoPirenaia</w:t>
      </w:r>
      <w:proofErr w:type="spellEnd"/>
      <w:r w:rsidRPr="00507CB8">
        <w:rPr>
          <w:rFonts w:ascii="Noto Serif" w:hAnsi="Noto Serif" w:cs="Noto Serif"/>
          <w:color w:val="545454"/>
          <w:sz w:val="22"/>
          <w:szCs w:val="22"/>
        </w:rPr>
        <w:t xml:space="preserve"> y, también, desde el espacio que el ICAC tiene en la </w:t>
      </w:r>
      <w:r w:rsidRPr="00507CB8">
        <w:rPr>
          <w:rFonts w:ascii="Noto Serif" w:hAnsi="Noto Serif" w:cs="Noto Serif"/>
          <w:color w:val="545454"/>
          <w:sz w:val="22"/>
          <w:szCs w:val="22"/>
        </w:rPr>
        <w:lastRenderedPageBreak/>
        <w:t>plataforma internacional </w:t>
      </w:r>
      <w:proofErr w:type="spellStart"/>
      <w:r w:rsidRPr="00507CB8">
        <w:rPr>
          <w:rFonts w:ascii="Noto Serif" w:hAnsi="Noto Serif" w:cs="Noto Serif"/>
          <w:color w:val="545454"/>
          <w:sz w:val="22"/>
          <w:szCs w:val="22"/>
        </w:rPr>
        <w:fldChar w:fldCharType="begin"/>
      </w:r>
      <w:r w:rsidRPr="00507CB8">
        <w:rPr>
          <w:rFonts w:ascii="Noto Serif" w:hAnsi="Noto Serif" w:cs="Noto Serif"/>
          <w:color w:val="545454"/>
          <w:sz w:val="22"/>
          <w:szCs w:val="22"/>
        </w:rPr>
        <w:instrText xml:space="preserve"> HYPERLINK "https://sketchfab.com/ICAC/models" \t "_blank" </w:instrText>
      </w:r>
      <w:r w:rsidRPr="00507CB8">
        <w:rPr>
          <w:rFonts w:ascii="Noto Serif" w:hAnsi="Noto Serif" w:cs="Noto Serif"/>
          <w:color w:val="545454"/>
          <w:sz w:val="22"/>
          <w:szCs w:val="22"/>
        </w:rPr>
        <w:fldChar w:fldCharType="separate"/>
      </w:r>
      <w:r w:rsidRPr="00507CB8">
        <w:rPr>
          <w:rStyle w:val="Hipervnculo"/>
          <w:rFonts w:ascii="Noto Serif" w:hAnsi="Noto Serif" w:cs="Noto Serif"/>
          <w:color w:val="9C2439"/>
          <w:sz w:val="22"/>
          <w:szCs w:val="22"/>
        </w:rPr>
        <w:t>Skecthfab</w:t>
      </w:r>
      <w:proofErr w:type="spellEnd"/>
      <w:r w:rsidRPr="00507CB8">
        <w:rPr>
          <w:rFonts w:ascii="Noto Serif" w:hAnsi="Noto Serif" w:cs="Noto Serif"/>
          <w:color w:val="545454"/>
          <w:sz w:val="22"/>
          <w:szCs w:val="22"/>
        </w:rPr>
        <w:fldChar w:fldCharType="end"/>
      </w:r>
      <w:r w:rsidRPr="00507CB8">
        <w:rPr>
          <w:rFonts w:ascii="Noto Serif" w:hAnsi="Noto Serif" w:cs="Noto Serif"/>
          <w:color w:val="545454"/>
          <w:sz w:val="22"/>
          <w:szCs w:val="22"/>
        </w:rPr>
        <w:t>, en la que se podrán consultar los modelos 3D de las cabañas de pastor.</w:t>
      </w:r>
    </w:p>
    <w:p w14:paraId="72E222EB" w14:textId="77777777"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p>
    <w:p w14:paraId="231A85CC" w14:textId="77777777" w:rsidR="00507CB8" w:rsidRPr="00507CB8" w:rsidRDefault="00507CB8" w:rsidP="00507CB8">
      <w:pPr>
        <w:pStyle w:val="NormalWeb"/>
        <w:shd w:val="clear" w:color="auto" w:fill="FAECE5"/>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 xml:space="preserve">Para llevar a cabo el proyecto </w:t>
      </w:r>
      <w:proofErr w:type="spellStart"/>
      <w:r w:rsidRPr="00507CB8">
        <w:rPr>
          <w:rFonts w:ascii="Noto Serif" w:hAnsi="Noto Serif" w:cs="Noto Serif"/>
          <w:color w:val="545454"/>
          <w:sz w:val="22"/>
          <w:szCs w:val="22"/>
        </w:rPr>
        <w:t>ArqueoPirenaia</w:t>
      </w:r>
      <w:proofErr w:type="spellEnd"/>
      <w:r w:rsidRPr="00507CB8">
        <w:rPr>
          <w:rFonts w:ascii="Noto Serif" w:hAnsi="Noto Serif" w:cs="Noto Serif"/>
          <w:color w:val="545454"/>
          <w:sz w:val="22"/>
          <w:szCs w:val="22"/>
        </w:rPr>
        <w:t xml:space="preserve"> (FCT-20-17298) el ICAC contará con la implicación y colaboración de la </w:t>
      </w:r>
      <w:hyperlink r:id="rId16" w:tgtFrame="_blank" w:history="1">
        <w:r w:rsidRPr="00507CB8">
          <w:rPr>
            <w:rStyle w:val="Hipervnculo"/>
            <w:rFonts w:ascii="Noto Serif" w:hAnsi="Noto Serif" w:cs="Noto Serif"/>
            <w:color w:val="9C2439"/>
            <w:sz w:val="22"/>
            <w:szCs w:val="22"/>
          </w:rPr>
          <w:t>Estación Valle de Núria</w:t>
        </w:r>
      </w:hyperlink>
      <w:r w:rsidRPr="00507CB8">
        <w:rPr>
          <w:rFonts w:ascii="Noto Serif" w:hAnsi="Noto Serif" w:cs="Noto Serif"/>
          <w:color w:val="545454"/>
          <w:sz w:val="22"/>
          <w:szCs w:val="22"/>
        </w:rPr>
        <w:t>, el </w:t>
      </w:r>
      <w:hyperlink r:id="rId17" w:tgtFrame="_blank" w:history="1">
        <w:r w:rsidRPr="00507CB8">
          <w:rPr>
            <w:rStyle w:val="Hipervnculo"/>
            <w:rFonts w:ascii="Noto Serif" w:hAnsi="Noto Serif" w:cs="Noto Serif"/>
            <w:color w:val="9C2439"/>
            <w:sz w:val="22"/>
            <w:szCs w:val="22"/>
          </w:rPr>
          <w:t xml:space="preserve">Parque Natural de las Cabeceras del Ter y </w:t>
        </w:r>
        <w:proofErr w:type="spellStart"/>
        <w:r w:rsidRPr="00507CB8">
          <w:rPr>
            <w:rStyle w:val="Hipervnculo"/>
            <w:rFonts w:ascii="Noto Serif" w:hAnsi="Noto Serif" w:cs="Noto Serif"/>
            <w:color w:val="9C2439"/>
            <w:sz w:val="22"/>
            <w:szCs w:val="22"/>
          </w:rPr>
          <w:t>Freser</w:t>
        </w:r>
        <w:proofErr w:type="spellEnd"/>
      </w:hyperlink>
      <w:r w:rsidRPr="00507CB8">
        <w:rPr>
          <w:rFonts w:ascii="Noto Serif" w:hAnsi="Noto Serif" w:cs="Noto Serif"/>
          <w:color w:val="545454"/>
          <w:sz w:val="22"/>
          <w:szCs w:val="22"/>
        </w:rPr>
        <w:t>, el </w:t>
      </w:r>
      <w:hyperlink r:id="rId18" w:tgtFrame="_blank" w:history="1">
        <w:r w:rsidRPr="00507CB8">
          <w:rPr>
            <w:rStyle w:val="Hipervnculo"/>
            <w:rFonts w:ascii="Noto Serif" w:hAnsi="Noto Serif" w:cs="Noto Serif"/>
            <w:color w:val="9C2439"/>
            <w:sz w:val="22"/>
            <w:szCs w:val="22"/>
          </w:rPr>
          <w:t>Museo Etnográfico de Ripoll</w:t>
        </w:r>
      </w:hyperlink>
      <w:r w:rsidRPr="00507CB8">
        <w:rPr>
          <w:rFonts w:ascii="Noto Serif" w:hAnsi="Noto Serif" w:cs="Noto Serif"/>
          <w:color w:val="545454"/>
          <w:sz w:val="22"/>
          <w:szCs w:val="22"/>
        </w:rPr>
        <w:t> y el </w:t>
      </w:r>
      <w:hyperlink r:id="rId19" w:tgtFrame="_blank" w:history="1">
        <w:r w:rsidRPr="00507CB8">
          <w:rPr>
            <w:rStyle w:val="Hipervnculo"/>
            <w:rFonts w:ascii="Noto Serif" w:hAnsi="Noto Serif" w:cs="Noto Serif"/>
            <w:color w:val="9C2439"/>
            <w:sz w:val="22"/>
            <w:szCs w:val="22"/>
          </w:rPr>
          <w:t>Ayuntamiento de Queralbs</w:t>
        </w:r>
      </w:hyperlink>
      <w:r w:rsidRPr="00507CB8">
        <w:rPr>
          <w:rFonts w:ascii="Noto Serif" w:hAnsi="Noto Serif" w:cs="Noto Serif"/>
          <w:color w:val="545454"/>
          <w:sz w:val="22"/>
          <w:szCs w:val="22"/>
        </w:rPr>
        <w:t>.</w:t>
      </w:r>
    </w:p>
    <w:p w14:paraId="244A3643" w14:textId="77777777" w:rsid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p>
    <w:p w14:paraId="4B8BABDD" w14:textId="686275B3" w:rsidR="00507CB8" w:rsidRPr="00507CB8" w:rsidRDefault="00507CB8" w:rsidP="00507CB8">
      <w:pPr>
        <w:pStyle w:val="NormalWeb"/>
        <w:shd w:val="clear" w:color="auto" w:fill="FFFFFF"/>
        <w:spacing w:before="0" w:beforeAutospacing="0" w:after="180" w:afterAutospacing="0"/>
        <w:rPr>
          <w:rFonts w:ascii="Noto Serif" w:hAnsi="Noto Serif" w:cs="Noto Serif"/>
          <w:color w:val="545454"/>
          <w:sz w:val="22"/>
          <w:szCs w:val="22"/>
        </w:rPr>
      </w:pPr>
      <w:r w:rsidRPr="00507CB8">
        <w:rPr>
          <w:rFonts w:ascii="Noto Serif" w:hAnsi="Noto Serif" w:cs="Noto Serif"/>
          <w:color w:val="545454"/>
          <w:sz w:val="22"/>
          <w:szCs w:val="22"/>
        </w:rPr>
        <w:t xml:space="preserve">Los miembros del </w:t>
      </w:r>
      <w:proofErr w:type="spellStart"/>
      <w:r w:rsidRPr="00507CB8">
        <w:rPr>
          <w:rFonts w:ascii="Noto Serif" w:hAnsi="Noto Serif" w:cs="Noto Serif"/>
          <w:color w:val="545454"/>
          <w:sz w:val="22"/>
          <w:szCs w:val="22"/>
        </w:rPr>
        <w:t>GIAP</w:t>
      </w:r>
      <w:proofErr w:type="spellEnd"/>
      <w:r w:rsidRPr="00507CB8">
        <w:rPr>
          <w:rFonts w:ascii="Noto Serif" w:hAnsi="Noto Serif" w:cs="Noto Serif"/>
          <w:color w:val="545454"/>
          <w:sz w:val="22"/>
          <w:szCs w:val="22"/>
        </w:rPr>
        <w:t xml:space="preserve"> que forman parte del proyecto </w:t>
      </w:r>
      <w:proofErr w:type="spellStart"/>
      <w:r w:rsidRPr="00507CB8">
        <w:rPr>
          <w:rFonts w:ascii="Noto Serif" w:hAnsi="Noto Serif" w:cs="Noto Serif"/>
          <w:color w:val="545454"/>
          <w:sz w:val="22"/>
          <w:szCs w:val="22"/>
        </w:rPr>
        <w:t>ArqueoPirenaia</w:t>
      </w:r>
      <w:proofErr w:type="spellEnd"/>
      <w:r w:rsidRPr="00507CB8">
        <w:rPr>
          <w:rFonts w:ascii="Noto Serif" w:hAnsi="Noto Serif" w:cs="Noto Serif"/>
          <w:color w:val="545454"/>
          <w:sz w:val="22"/>
          <w:szCs w:val="22"/>
        </w:rPr>
        <w:t xml:space="preserve"> son </w:t>
      </w:r>
      <w:hyperlink r:id="rId20" w:tgtFrame="_blank" w:history="1">
        <w:r w:rsidRPr="00507CB8">
          <w:rPr>
            <w:rStyle w:val="Hipervnculo"/>
            <w:rFonts w:ascii="Noto Serif" w:hAnsi="Noto Serif" w:cs="Noto Serif"/>
            <w:color w:val="9C2439"/>
            <w:sz w:val="22"/>
            <w:szCs w:val="22"/>
          </w:rPr>
          <w:t xml:space="preserve">Josep Maria </w:t>
        </w:r>
        <w:proofErr w:type="spellStart"/>
        <w:r w:rsidRPr="00507CB8">
          <w:rPr>
            <w:rStyle w:val="Hipervnculo"/>
            <w:rFonts w:ascii="Noto Serif" w:hAnsi="Noto Serif" w:cs="Noto Serif"/>
            <w:color w:val="9C2439"/>
            <w:sz w:val="22"/>
            <w:szCs w:val="22"/>
          </w:rPr>
          <w:t>Palet</w:t>
        </w:r>
        <w:proofErr w:type="spellEnd"/>
      </w:hyperlink>
      <w:r w:rsidRPr="00507CB8">
        <w:rPr>
          <w:rFonts w:ascii="Noto Serif" w:hAnsi="Noto Serif" w:cs="Noto Serif"/>
          <w:color w:val="545454"/>
          <w:sz w:val="22"/>
          <w:szCs w:val="22"/>
        </w:rPr>
        <w:t>, </w:t>
      </w:r>
      <w:hyperlink r:id="rId21" w:tgtFrame="_blank" w:history="1">
        <w:r w:rsidRPr="00507CB8">
          <w:rPr>
            <w:rStyle w:val="Hipervnculo"/>
            <w:rFonts w:ascii="Noto Serif" w:hAnsi="Noto Serif" w:cs="Noto Serif"/>
            <w:color w:val="9C2439"/>
            <w:sz w:val="22"/>
            <w:szCs w:val="22"/>
          </w:rPr>
          <w:t>Marta Flórez</w:t>
        </w:r>
      </w:hyperlink>
      <w:r w:rsidRPr="00507CB8">
        <w:rPr>
          <w:rFonts w:ascii="Noto Serif" w:hAnsi="Noto Serif" w:cs="Noto Serif"/>
          <w:color w:val="545454"/>
          <w:sz w:val="22"/>
          <w:szCs w:val="22"/>
        </w:rPr>
        <w:t>, </w:t>
      </w:r>
      <w:proofErr w:type="spellStart"/>
      <w:r w:rsidRPr="00507CB8">
        <w:rPr>
          <w:rFonts w:ascii="Noto Serif" w:hAnsi="Noto Serif" w:cs="Noto Serif"/>
          <w:color w:val="545454"/>
          <w:sz w:val="22"/>
          <w:szCs w:val="22"/>
        </w:rPr>
        <w:fldChar w:fldCharType="begin"/>
      </w:r>
      <w:r w:rsidRPr="00507CB8">
        <w:rPr>
          <w:rFonts w:ascii="Noto Serif" w:hAnsi="Noto Serif" w:cs="Noto Serif"/>
          <w:color w:val="545454"/>
          <w:sz w:val="22"/>
          <w:szCs w:val="22"/>
        </w:rPr>
        <w:instrText xml:space="preserve"> HYPERLINK "https://icac.cat/qui-som/personal/lcolominas/" \t "_blank" </w:instrText>
      </w:r>
      <w:r w:rsidRPr="00507CB8">
        <w:rPr>
          <w:rFonts w:ascii="Noto Serif" w:hAnsi="Noto Serif" w:cs="Noto Serif"/>
          <w:color w:val="545454"/>
          <w:sz w:val="22"/>
          <w:szCs w:val="22"/>
        </w:rPr>
        <w:fldChar w:fldCharType="separate"/>
      </w:r>
      <w:r w:rsidRPr="00507CB8">
        <w:rPr>
          <w:rStyle w:val="Hipervnculo"/>
          <w:rFonts w:ascii="Noto Serif" w:hAnsi="Noto Serif" w:cs="Noto Serif"/>
          <w:color w:val="9C2439"/>
          <w:sz w:val="22"/>
          <w:szCs w:val="22"/>
        </w:rPr>
        <w:t>Lídia</w:t>
      </w:r>
      <w:proofErr w:type="spellEnd"/>
      <w:r w:rsidRPr="00507CB8">
        <w:rPr>
          <w:rStyle w:val="Hipervnculo"/>
          <w:rFonts w:ascii="Noto Serif" w:hAnsi="Noto Serif" w:cs="Noto Serif"/>
          <w:color w:val="9C2439"/>
          <w:sz w:val="22"/>
          <w:szCs w:val="22"/>
        </w:rPr>
        <w:t xml:space="preserve"> Colominas</w:t>
      </w:r>
      <w:r w:rsidRPr="00507CB8">
        <w:rPr>
          <w:rFonts w:ascii="Noto Serif" w:hAnsi="Noto Serif" w:cs="Noto Serif"/>
          <w:color w:val="545454"/>
          <w:sz w:val="22"/>
          <w:szCs w:val="22"/>
        </w:rPr>
        <w:fldChar w:fldCharType="end"/>
      </w:r>
      <w:r w:rsidRPr="00507CB8">
        <w:rPr>
          <w:rFonts w:ascii="Noto Serif" w:hAnsi="Noto Serif" w:cs="Noto Serif"/>
          <w:color w:val="545454"/>
          <w:sz w:val="22"/>
          <w:szCs w:val="22"/>
        </w:rPr>
        <w:t>, </w:t>
      </w:r>
      <w:hyperlink r:id="rId22" w:tgtFrame="_blank" w:history="1">
        <w:r w:rsidRPr="00507CB8">
          <w:rPr>
            <w:rStyle w:val="Hipervnculo"/>
            <w:rFonts w:ascii="Noto Serif" w:hAnsi="Noto Serif" w:cs="Noto Serif"/>
            <w:color w:val="9C2439"/>
            <w:sz w:val="22"/>
            <w:szCs w:val="22"/>
          </w:rPr>
          <w:t>Arnau Carbonell</w:t>
        </w:r>
      </w:hyperlink>
      <w:r w:rsidRPr="00507CB8">
        <w:rPr>
          <w:rFonts w:ascii="Noto Serif" w:hAnsi="Noto Serif" w:cs="Noto Serif"/>
          <w:color w:val="545454"/>
          <w:sz w:val="22"/>
          <w:szCs w:val="22"/>
        </w:rPr>
        <w:t>, </w:t>
      </w:r>
      <w:hyperlink r:id="rId23" w:tgtFrame="_blank" w:history="1">
        <w:r w:rsidRPr="00507CB8">
          <w:rPr>
            <w:rStyle w:val="Hipervnculo"/>
            <w:rFonts w:ascii="Noto Serif" w:hAnsi="Noto Serif" w:cs="Noto Serif"/>
            <w:color w:val="9C2439"/>
            <w:sz w:val="22"/>
            <w:szCs w:val="22"/>
          </w:rPr>
          <w:t>Valentina Pescini</w:t>
        </w:r>
      </w:hyperlink>
      <w:r w:rsidRPr="00507CB8">
        <w:rPr>
          <w:rFonts w:ascii="Noto Serif" w:hAnsi="Noto Serif" w:cs="Noto Serif"/>
          <w:color w:val="545454"/>
          <w:sz w:val="22"/>
          <w:szCs w:val="22"/>
        </w:rPr>
        <w:t>, </w:t>
      </w:r>
      <w:hyperlink r:id="rId24" w:tgtFrame="_blank" w:history="1">
        <w:r w:rsidRPr="00507CB8">
          <w:rPr>
            <w:rStyle w:val="Hipervnculo"/>
            <w:rFonts w:ascii="Noto Serif" w:hAnsi="Noto Serif" w:cs="Noto Serif"/>
            <w:color w:val="9C2439"/>
            <w:sz w:val="22"/>
            <w:szCs w:val="22"/>
          </w:rPr>
          <w:t>Abel Gallego</w:t>
        </w:r>
      </w:hyperlink>
      <w:r w:rsidRPr="00507CB8">
        <w:rPr>
          <w:rFonts w:ascii="Noto Serif" w:hAnsi="Noto Serif" w:cs="Noto Serif"/>
          <w:color w:val="545454"/>
          <w:sz w:val="22"/>
          <w:szCs w:val="22"/>
        </w:rPr>
        <w:t>, </w:t>
      </w:r>
      <w:hyperlink r:id="rId25" w:tgtFrame="_blank" w:history="1">
        <w:r w:rsidRPr="00507CB8">
          <w:rPr>
            <w:rStyle w:val="Hipervnculo"/>
            <w:rFonts w:ascii="Noto Serif" w:hAnsi="Noto Serif" w:cs="Noto Serif"/>
            <w:color w:val="9C2439"/>
            <w:sz w:val="22"/>
            <w:szCs w:val="22"/>
          </w:rPr>
          <w:t>Paloma Aliende</w:t>
        </w:r>
      </w:hyperlink>
      <w:r w:rsidRPr="00507CB8">
        <w:rPr>
          <w:rFonts w:ascii="Noto Serif" w:hAnsi="Noto Serif" w:cs="Noto Serif"/>
          <w:color w:val="545454"/>
          <w:sz w:val="22"/>
          <w:szCs w:val="22"/>
        </w:rPr>
        <w:t> y </w:t>
      </w:r>
      <w:proofErr w:type="spellStart"/>
      <w:r w:rsidRPr="00507CB8">
        <w:rPr>
          <w:rFonts w:ascii="Noto Serif" w:hAnsi="Noto Serif" w:cs="Noto Serif"/>
          <w:color w:val="545454"/>
          <w:sz w:val="22"/>
          <w:szCs w:val="22"/>
        </w:rPr>
        <w:fldChar w:fldCharType="begin"/>
      </w:r>
      <w:r w:rsidRPr="00507CB8">
        <w:rPr>
          <w:rFonts w:ascii="Noto Serif" w:hAnsi="Noto Serif" w:cs="Noto Serif"/>
          <w:color w:val="545454"/>
          <w:sz w:val="22"/>
          <w:szCs w:val="22"/>
        </w:rPr>
        <w:instrText xml:space="preserve"> HYPERLINK "https://icac.cat/qui-som/personal/mjortegaperez/" \t "_blank" </w:instrText>
      </w:r>
      <w:r w:rsidRPr="00507CB8">
        <w:rPr>
          <w:rFonts w:ascii="Noto Serif" w:hAnsi="Noto Serif" w:cs="Noto Serif"/>
          <w:color w:val="545454"/>
          <w:sz w:val="22"/>
          <w:szCs w:val="22"/>
        </w:rPr>
        <w:fldChar w:fldCharType="separate"/>
      </w:r>
      <w:r w:rsidRPr="00507CB8">
        <w:rPr>
          <w:rStyle w:val="Hipervnculo"/>
          <w:rFonts w:ascii="Noto Serif" w:hAnsi="Noto Serif" w:cs="Noto Serif"/>
          <w:color w:val="9C2439"/>
          <w:sz w:val="22"/>
          <w:szCs w:val="22"/>
        </w:rPr>
        <w:t>Txusa</w:t>
      </w:r>
      <w:proofErr w:type="spellEnd"/>
      <w:r w:rsidRPr="00507CB8">
        <w:rPr>
          <w:rStyle w:val="Hipervnculo"/>
          <w:rFonts w:ascii="Noto Serif" w:hAnsi="Noto Serif" w:cs="Noto Serif"/>
          <w:color w:val="9C2439"/>
          <w:sz w:val="22"/>
          <w:szCs w:val="22"/>
        </w:rPr>
        <w:t xml:space="preserve"> Ortega</w:t>
      </w:r>
      <w:r w:rsidRPr="00507CB8">
        <w:rPr>
          <w:rFonts w:ascii="Noto Serif" w:hAnsi="Noto Serif" w:cs="Noto Serif"/>
          <w:color w:val="545454"/>
          <w:sz w:val="22"/>
          <w:szCs w:val="22"/>
        </w:rPr>
        <w:fldChar w:fldCharType="end"/>
      </w:r>
      <w:r w:rsidRPr="00507CB8">
        <w:rPr>
          <w:rFonts w:ascii="Noto Serif" w:hAnsi="Noto Serif" w:cs="Noto Serif"/>
          <w:color w:val="545454"/>
          <w:sz w:val="22"/>
          <w:szCs w:val="22"/>
        </w:rPr>
        <w:t>.</w:t>
      </w:r>
    </w:p>
    <w:p w14:paraId="1AF8229C" w14:textId="77777777" w:rsidR="00507CB8" w:rsidRDefault="00507CB8" w:rsidP="00507CB8">
      <w:pPr>
        <w:pStyle w:val="Ttulo6"/>
        <w:spacing w:before="240" w:beforeAutospacing="0" w:after="240" w:afterAutospacing="0" w:line="276" w:lineRule="auto"/>
        <w:jc w:val="center"/>
        <w:rPr>
          <w:rFonts w:ascii="Noto Serif" w:hAnsi="Noto Serif" w:cs="Noto Serif"/>
          <w:b w:val="0"/>
          <w:bCs w:val="0"/>
          <w:color w:val="808080"/>
          <w:sz w:val="20"/>
          <w:szCs w:val="20"/>
          <w:shd w:val="clear" w:color="auto" w:fill="FFFFFF"/>
        </w:rPr>
      </w:pPr>
      <w:r w:rsidRPr="00507CB8">
        <w:rPr>
          <w:noProof/>
          <w:sz w:val="22"/>
          <w:szCs w:val="22"/>
        </w:rPr>
        <w:drawing>
          <wp:inline distT="0" distB="0" distL="0" distR="0" wp14:anchorId="0C6C4A94" wp14:editId="3B8FE834">
            <wp:extent cx="4152900" cy="3117605"/>
            <wp:effectExtent l="0" t="0" r="0" b="6985"/>
            <wp:docPr id="8" name="Imagen 8" descr="Grupo de personas en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upo de personas en una montañ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0133" cy="3123035"/>
                    </a:xfrm>
                    <a:prstGeom prst="rect">
                      <a:avLst/>
                    </a:prstGeom>
                    <a:noFill/>
                    <a:ln>
                      <a:noFill/>
                    </a:ln>
                  </pic:spPr>
                </pic:pic>
              </a:graphicData>
            </a:graphic>
          </wp:inline>
        </w:drawing>
      </w:r>
    </w:p>
    <w:p w14:paraId="26EB8F3C" w14:textId="1ACBE40A" w:rsidR="00507CB8" w:rsidRPr="00507CB8" w:rsidRDefault="00507CB8" w:rsidP="00507CB8">
      <w:pPr>
        <w:pStyle w:val="Ttulo6"/>
        <w:spacing w:before="240" w:beforeAutospacing="0" w:after="240" w:afterAutospacing="0" w:line="276" w:lineRule="auto"/>
        <w:jc w:val="center"/>
        <w:rPr>
          <w:rFonts w:asciiTheme="minorHAnsi" w:hAnsiTheme="minorHAnsi" w:cstheme="minorHAnsi"/>
          <w:sz w:val="22"/>
          <w:szCs w:val="22"/>
        </w:rPr>
      </w:pPr>
      <w:r w:rsidRPr="00507CB8">
        <w:rPr>
          <w:rFonts w:ascii="Noto Serif" w:hAnsi="Noto Serif" w:cs="Noto Serif"/>
          <w:b w:val="0"/>
          <w:bCs w:val="0"/>
          <w:color w:val="808080"/>
          <w:sz w:val="20"/>
          <w:szCs w:val="20"/>
          <w:shd w:val="clear" w:color="auto" w:fill="FFFFFF"/>
        </w:rPr>
        <w:t xml:space="preserve">Josep Maria </w:t>
      </w:r>
      <w:proofErr w:type="spellStart"/>
      <w:r w:rsidRPr="00507CB8">
        <w:rPr>
          <w:rFonts w:ascii="Noto Serif" w:hAnsi="Noto Serif" w:cs="Noto Serif"/>
          <w:b w:val="0"/>
          <w:bCs w:val="0"/>
          <w:color w:val="808080"/>
          <w:sz w:val="20"/>
          <w:szCs w:val="20"/>
          <w:shd w:val="clear" w:color="auto" w:fill="FFFFFF"/>
        </w:rPr>
        <w:t>Palet</w:t>
      </w:r>
      <w:proofErr w:type="spellEnd"/>
      <w:r w:rsidRPr="00507CB8">
        <w:rPr>
          <w:rFonts w:ascii="Noto Serif" w:hAnsi="Noto Serif" w:cs="Noto Serif"/>
          <w:b w:val="0"/>
          <w:bCs w:val="0"/>
          <w:color w:val="808080"/>
          <w:sz w:val="20"/>
          <w:szCs w:val="20"/>
          <w:shd w:val="clear" w:color="auto" w:fill="FFFFFF"/>
        </w:rPr>
        <w:t xml:space="preserve"> (izquierda) durante una de las </w:t>
      </w:r>
      <w:proofErr w:type="spellStart"/>
      <w:r w:rsidRPr="00507CB8">
        <w:rPr>
          <w:rFonts w:ascii="Noto Serif" w:hAnsi="Noto Serif" w:cs="Noto Serif"/>
          <w:b w:val="0"/>
          <w:bCs w:val="0"/>
          <w:color w:val="808080"/>
          <w:sz w:val="20"/>
          <w:szCs w:val="20"/>
          <w:shd w:val="clear" w:color="auto" w:fill="FFFFFF"/>
        </w:rPr>
        <w:t>Arqueorutas</w:t>
      </w:r>
      <w:proofErr w:type="spellEnd"/>
      <w:r w:rsidRPr="00507CB8">
        <w:rPr>
          <w:rFonts w:ascii="Noto Serif" w:hAnsi="Noto Serif" w:cs="Noto Serif"/>
          <w:b w:val="0"/>
          <w:bCs w:val="0"/>
          <w:color w:val="808080"/>
          <w:sz w:val="20"/>
          <w:szCs w:val="20"/>
          <w:shd w:val="clear" w:color="auto" w:fill="FFFFFF"/>
        </w:rPr>
        <w:t>, en su paso por la cueva prehistórica «</w:t>
      </w:r>
      <w:proofErr w:type="spellStart"/>
      <w:r w:rsidRPr="00507CB8">
        <w:rPr>
          <w:rFonts w:ascii="Noto Serif" w:hAnsi="Noto Serif" w:cs="Noto Serif"/>
          <w:b w:val="0"/>
          <w:bCs w:val="0"/>
          <w:color w:val="808080"/>
          <w:sz w:val="20"/>
          <w:szCs w:val="20"/>
          <w:shd w:val="clear" w:color="auto" w:fill="FFFFFF"/>
        </w:rPr>
        <w:t>Catau</w:t>
      </w:r>
      <w:proofErr w:type="spellEnd"/>
      <w:r w:rsidRPr="00507CB8">
        <w:rPr>
          <w:rFonts w:ascii="Noto Serif" w:hAnsi="Noto Serif" w:cs="Noto Serif"/>
          <w:b w:val="0"/>
          <w:bCs w:val="0"/>
          <w:color w:val="808080"/>
          <w:sz w:val="20"/>
          <w:szCs w:val="20"/>
          <w:shd w:val="clear" w:color="auto" w:fill="FFFFFF"/>
        </w:rPr>
        <w:t xml:space="preserve"> de </w:t>
      </w:r>
      <w:proofErr w:type="spellStart"/>
      <w:r w:rsidRPr="00507CB8">
        <w:rPr>
          <w:rFonts w:ascii="Noto Serif" w:hAnsi="Noto Serif" w:cs="Noto Serif"/>
          <w:b w:val="0"/>
          <w:bCs w:val="0"/>
          <w:color w:val="808080"/>
          <w:sz w:val="20"/>
          <w:szCs w:val="20"/>
          <w:shd w:val="clear" w:color="auto" w:fill="FFFFFF"/>
        </w:rPr>
        <w:t>l’Os</w:t>
      </w:r>
      <w:proofErr w:type="spellEnd"/>
      <w:r w:rsidRPr="00507CB8">
        <w:rPr>
          <w:rFonts w:ascii="Noto Serif" w:hAnsi="Noto Serif" w:cs="Noto Serif"/>
          <w:b w:val="0"/>
          <w:bCs w:val="0"/>
          <w:color w:val="808080"/>
          <w:sz w:val="20"/>
          <w:szCs w:val="20"/>
          <w:shd w:val="clear" w:color="auto" w:fill="FFFFFF"/>
        </w:rPr>
        <w:t>», en el «</w:t>
      </w:r>
      <w:proofErr w:type="spellStart"/>
      <w:r w:rsidRPr="00507CB8">
        <w:rPr>
          <w:rFonts w:ascii="Noto Serif" w:hAnsi="Noto Serif" w:cs="Noto Serif"/>
          <w:b w:val="0"/>
          <w:bCs w:val="0"/>
          <w:color w:val="808080"/>
          <w:sz w:val="20"/>
          <w:szCs w:val="20"/>
          <w:shd w:val="clear" w:color="auto" w:fill="FFFFFF"/>
        </w:rPr>
        <w:t>Forat</w:t>
      </w:r>
      <w:proofErr w:type="spellEnd"/>
      <w:r w:rsidRPr="00507CB8">
        <w:rPr>
          <w:rFonts w:ascii="Noto Serif" w:hAnsi="Noto Serif" w:cs="Noto Serif"/>
          <w:b w:val="0"/>
          <w:bCs w:val="0"/>
          <w:color w:val="808080"/>
          <w:sz w:val="20"/>
          <w:szCs w:val="20"/>
          <w:shd w:val="clear" w:color="auto" w:fill="FFFFFF"/>
        </w:rPr>
        <w:t xml:space="preserve"> de </w:t>
      </w:r>
      <w:proofErr w:type="spellStart"/>
      <w:r w:rsidRPr="00507CB8">
        <w:rPr>
          <w:rFonts w:ascii="Noto Serif" w:hAnsi="Noto Serif" w:cs="Noto Serif"/>
          <w:b w:val="0"/>
          <w:bCs w:val="0"/>
          <w:color w:val="808080"/>
          <w:sz w:val="20"/>
          <w:szCs w:val="20"/>
          <w:shd w:val="clear" w:color="auto" w:fill="FFFFFF"/>
        </w:rPr>
        <w:t>l’Embut</w:t>
      </w:r>
      <w:proofErr w:type="spellEnd"/>
      <w:r w:rsidRPr="00507CB8">
        <w:rPr>
          <w:rFonts w:ascii="Noto Serif" w:hAnsi="Noto Serif" w:cs="Noto Serif"/>
          <w:b w:val="0"/>
          <w:bCs w:val="0"/>
          <w:color w:val="808080"/>
          <w:sz w:val="20"/>
          <w:szCs w:val="20"/>
          <w:shd w:val="clear" w:color="auto" w:fill="FFFFFF"/>
        </w:rPr>
        <w:t>» (Queralbs, Ripollès). Foto: ICAC, 2020.</w:t>
      </w:r>
    </w:p>
    <w:p w14:paraId="445F69CE" w14:textId="77777777" w:rsidR="009D1933" w:rsidRPr="00507CB8" w:rsidRDefault="009D1933" w:rsidP="000242B1">
      <w:pPr>
        <w:snapToGrid w:val="0"/>
        <w:spacing w:before="120" w:after="120"/>
        <w:jc w:val="both"/>
        <w:rPr>
          <w:rFonts w:cstheme="minorHAnsi"/>
          <w:lang w:val="es-ES"/>
        </w:rPr>
      </w:pPr>
    </w:p>
    <w:p w14:paraId="086D811B" w14:textId="77777777" w:rsidR="00D57B22" w:rsidRPr="00507CB8" w:rsidRDefault="00D57B22" w:rsidP="000242B1">
      <w:pPr>
        <w:pStyle w:val="paragraph"/>
        <w:shd w:val="clear" w:color="auto" w:fill="FAECE5"/>
        <w:spacing w:before="120" w:beforeAutospacing="0" w:after="120" w:afterAutospacing="0" w:line="276" w:lineRule="auto"/>
        <w:jc w:val="both"/>
        <w:textAlignment w:val="baseline"/>
        <w:rPr>
          <w:rStyle w:val="normaltextrun"/>
          <w:rFonts w:asciiTheme="minorHAnsi" w:hAnsiTheme="minorHAnsi" w:cstheme="minorHAnsi"/>
          <w:color w:val="545454"/>
          <w:sz w:val="22"/>
          <w:szCs w:val="22"/>
          <w:lang w:val="es-ES"/>
        </w:rPr>
      </w:pPr>
    </w:p>
    <w:p w14:paraId="130F8BDC" w14:textId="44B5AAFD" w:rsidR="00D57B22" w:rsidRPr="00507CB8" w:rsidRDefault="00D57B22" w:rsidP="000242B1">
      <w:pPr>
        <w:pStyle w:val="paragraph"/>
        <w:shd w:val="clear" w:color="auto" w:fill="FAECE5"/>
        <w:spacing w:before="120" w:beforeAutospacing="0" w:after="120" w:afterAutospacing="0" w:line="276" w:lineRule="auto"/>
        <w:jc w:val="both"/>
        <w:textAlignment w:val="baseline"/>
        <w:rPr>
          <w:rFonts w:asciiTheme="minorHAnsi" w:hAnsiTheme="minorHAnsi" w:cstheme="minorHAnsi"/>
          <w:sz w:val="22"/>
          <w:szCs w:val="22"/>
          <w:lang w:val="es-ES"/>
        </w:rPr>
      </w:pPr>
      <w:r w:rsidRPr="00507CB8">
        <w:rPr>
          <w:rStyle w:val="normaltextrun"/>
          <w:rFonts w:asciiTheme="minorHAnsi" w:hAnsiTheme="minorHAnsi" w:cstheme="minorHAnsi"/>
          <w:color w:val="545454"/>
          <w:sz w:val="22"/>
          <w:szCs w:val="22"/>
          <w:lang w:val="es-ES"/>
        </w:rPr>
        <w:t xml:space="preserve">El </w:t>
      </w:r>
      <w:hyperlink r:id="rId27" w:history="1">
        <w:r w:rsidRPr="00507CB8">
          <w:rPr>
            <w:rStyle w:val="Hipervnculo"/>
            <w:rFonts w:asciiTheme="minorHAnsi" w:hAnsiTheme="minorHAnsi" w:cstheme="minorHAnsi"/>
            <w:sz w:val="22"/>
            <w:szCs w:val="22"/>
            <w:lang w:val="es-ES"/>
          </w:rPr>
          <w:t>Instituto Catalán de Arqueología Clásica</w:t>
        </w:r>
      </w:hyperlink>
      <w:r w:rsidRPr="00507CB8">
        <w:rPr>
          <w:rStyle w:val="normaltextrun"/>
          <w:rFonts w:asciiTheme="minorHAnsi" w:hAnsiTheme="minorHAnsi" w:cstheme="minorHAnsi"/>
          <w:color w:val="545454"/>
          <w:sz w:val="22"/>
          <w:szCs w:val="22"/>
          <w:lang w:val="es-ES"/>
        </w:rPr>
        <w:t xml:space="preserve"> (ICAC) es un </w:t>
      </w:r>
      <w:r w:rsidRPr="00507CB8">
        <w:rPr>
          <w:rStyle w:val="normaltextrun"/>
          <w:rFonts w:asciiTheme="minorHAnsi" w:hAnsiTheme="minorHAnsi" w:cstheme="minorHAnsi"/>
          <w:b/>
          <w:bCs/>
          <w:color w:val="545454"/>
          <w:sz w:val="22"/>
          <w:szCs w:val="22"/>
          <w:lang w:val="es-ES"/>
        </w:rPr>
        <w:t>centro CERCA</w:t>
      </w:r>
      <w:r w:rsidRPr="00507CB8">
        <w:rPr>
          <w:rStyle w:val="normaltextrun"/>
          <w:rFonts w:asciiTheme="minorHAnsi" w:hAnsiTheme="minorHAnsi" w:cstheme="minorHAnsi"/>
          <w:color w:val="545454"/>
          <w:sz w:val="22"/>
          <w:szCs w:val="22"/>
          <w:lang w:val="es-ES"/>
        </w:rPr>
        <w:t xml:space="preserve"> creado como consorcio en 2003 por la Generalitat de Catalunya y la Universidad Rovira y Virgili. Tiene su sede en Tarragona, ciudad reconocida como Patrimonio Mundial por la UNESCO el año 2000, y está especializado en la investigación y formación avanzada en arqueología clásica.</w:t>
      </w:r>
      <w:r w:rsidRPr="00507CB8">
        <w:rPr>
          <w:rStyle w:val="eop"/>
          <w:rFonts w:asciiTheme="minorHAnsi" w:hAnsiTheme="minorHAnsi" w:cstheme="minorHAnsi"/>
          <w:color w:val="545454"/>
          <w:sz w:val="22"/>
          <w:szCs w:val="22"/>
          <w:lang w:val="es-ES"/>
        </w:rPr>
        <w:t> </w:t>
      </w:r>
    </w:p>
    <w:p w14:paraId="3E43F51A" w14:textId="4996E4D4" w:rsidR="00B47395" w:rsidRPr="00507CB8" w:rsidRDefault="00B47395" w:rsidP="000242B1">
      <w:pPr>
        <w:pStyle w:val="paragraph"/>
        <w:shd w:val="clear" w:color="auto" w:fill="FAECE5"/>
        <w:spacing w:before="120" w:beforeAutospacing="0" w:after="120" w:afterAutospacing="0" w:line="276" w:lineRule="auto"/>
        <w:jc w:val="both"/>
        <w:textAlignment w:val="baseline"/>
        <w:rPr>
          <w:rFonts w:asciiTheme="minorHAnsi" w:hAnsiTheme="minorHAnsi" w:cstheme="minorHAnsi"/>
          <w:sz w:val="22"/>
          <w:szCs w:val="22"/>
          <w:lang w:val="es-ES"/>
        </w:rPr>
      </w:pPr>
      <w:r w:rsidRPr="00507CB8">
        <w:rPr>
          <w:rStyle w:val="normaltextrun"/>
          <w:rFonts w:asciiTheme="minorHAnsi" w:hAnsiTheme="minorHAnsi" w:cstheme="minorHAnsi"/>
          <w:color w:val="545454"/>
          <w:sz w:val="22"/>
          <w:szCs w:val="22"/>
          <w:lang w:val="es-ES"/>
        </w:rPr>
        <w:t>M</w:t>
      </w:r>
      <w:r w:rsidR="00D57B22" w:rsidRPr="00507CB8">
        <w:rPr>
          <w:rStyle w:val="normaltextrun"/>
          <w:rFonts w:asciiTheme="minorHAnsi" w:hAnsiTheme="minorHAnsi" w:cstheme="minorHAnsi"/>
          <w:color w:val="545454"/>
          <w:sz w:val="22"/>
          <w:szCs w:val="22"/>
          <w:lang w:val="es-ES"/>
        </w:rPr>
        <w:t>á</w:t>
      </w:r>
      <w:r w:rsidRPr="00507CB8">
        <w:rPr>
          <w:rStyle w:val="normaltextrun"/>
          <w:rFonts w:asciiTheme="minorHAnsi" w:hAnsiTheme="minorHAnsi" w:cstheme="minorHAnsi"/>
          <w:color w:val="545454"/>
          <w:sz w:val="22"/>
          <w:szCs w:val="22"/>
          <w:lang w:val="es-ES"/>
        </w:rPr>
        <w:t>s informació</w:t>
      </w:r>
      <w:r w:rsidR="00D57B22" w:rsidRPr="00507CB8">
        <w:rPr>
          <w:rStyle w:val="normaltextrun"/>
          <w:rFonts w:asciiTheme="minorHAnsi" w:hAnsiTheme="minorHAnsi" w:cstheme="minorHAnsi"/>
          <w:color w:val="545454"/>
          <w:sz w:val="22"/>
          <w:szCs w:val="22"/>
          <w:lang w:val="es-ES"/>
        </w:rPr>
        <w:t>n en</w:t>
      </w:r>
      <w:r w:rsidRPr="00507CB8">
        <w:rPr>
          <w:rStyle w:val="normaltextrun"/>
          <w:rFonts w:asciiTheme="minorHAnsi" w:hAnsiTheme="minorHAnsi" w:cstheme="minorHAnsi"/>
          <w:color w:val="545454"/>
          <w:sz w:val="22"/>
          <w:szCs w:val="22"/>
          <w:lang w:val="es-ES"/>
        </w:rPr>
        <w:t> </w:t>
      </w:r>
      <w:hyperlink r:id="rId28" w:history="1">
        <w:r w:rsidR="00D57B22" w:rsidRPr="00507CB8">
          <w:rPr>
            <w:rStyle w:val="Hipervnculo"/>
            <w:rFonts w:asciiTheme="minorHAnsi" w:hAnsiTheme="minorHAnsi" w:cstheme="minorHAnsi"/>
            <w:sz w:val="22"/>
            <w:szCs w:val="22"/>
            <w:lang w:val="es-ES"/>
          </w:rPr>
          <w:t>www.icac.cat/es</w:t>
        </w:r>
      </w:hyperlink>
      <w:r w:rsidRPr="00507CB8">
        <w:rPr>
          <w:rStyle w:val="eop"/>
          <w:rFonts w:asciiTheme="minorHAnsi" w:hAnsiTheme="minorHAnsi" w:cstheme="minorHAnsi"/>
          <w:color w:val="545454"/>
          <w:sz w:val="22"/>
          <w:szCs w:val="22"/>
          <w:lang w:val="es-ES"/>
        </w:rPr>
        <w:t> </w:t>
      </w:r>
    </w:p>
    <w:p w14:paraId="7D04B6DB" w14:textId="77777777" w:rsidR="00B47395" w:rsidRPr="00507CB8" w:rsidRDefault="00B47395" w:rsidP="000242B1">
      <w:pPr>
        <w:pStyle w:val="paragraph"/>
        <w:spacing w:before="120" w:beforeAutospacing="0" w:after="120" w:afterAutospacing="0" w:line="276" w:lineRule="auto"/>
        <w:jc w:val="both"/>
        <w:textAlignment w:val="baseline"/>
        <w:rPr>
          <w:rStyle w:val="normaltextrun"/>
          <w:rFonts w:asciiTheme="minorHAnsi" w:hAnsiTheme="minorHAnsi" w:cstheme="minorHAnsi"/>
          <w:b/>
          <w:bCs/>
          <w:color w:val="0070C0"/>
          <w:sz w:val="22"/>
          <w:szCs w:val="22"/>
          <w:lang w:val="es-ES"/>
        </w:rPr>
      </w:pPr>
    </w:p>
    <w:p w14:paraId="3773206E" w14:textId="44DD8CC2" w:rsidR="00FF567B" w:rsidRPr="00507CB8" w:rsidRDefault="00FF567B" w:rsidP="000242B1">
      <w:pPr>
        <w:pStyle w:val="paragraph"/>
        <w:spacing w:before="120" w:beforeAutospacing="0" w:after="120" w:afterAutospacing="0" w:line="276" w:lineRule="auto"/>
        <w:jc w:val="both"/>
        <w:textAlignment w:val="baseline"/>
        <w:rPr>
          <w:rStyle w:val="eop"/>
          <w:rFonts w:asciiTheme="minorHAnsi" w:hAnsiTheme="minorHAnsi" w:cstheme="minorHAnsi"/>
          <w:color w:val="0070C0"/>
          <w:sz w:val="22"/>
          <w:szCs w:val="22"/>
          <w:lang w:val="es-ES"/>
        </w:rPr>
      </w:pPr>
      <w:r w:rsidRPr="00507CB8">
        <w:rPr>
          <w:rStyle w:val="normaltextrun"/>
          <w:rFonts w:asciiTheme="minorHAnsi" w:hAnsiTheme="minorHAnsi" w:cstheme="minorHAnsi"/>
          <w:b/>
          <w:bCs/>
          <w:color w:val="0070C0"/>
          <w:sz w:val="22"/>
          <w:szCs w:val="22"/>
          <w:lang w:val="es-ES"/>
        </w:rPr>
        <w:t>P</w:t>
      </w:r>
      <w:r w:rsidR="00D57B22" w:rsidRPr="00507CB8">
        <w:rPr>
          <w:rStyle w:val="normaltextrun"/>
          <w:rFonts w:asciiTheme="minorHAnsi" w:hAnsiTheme="minorHAnsi" w:cstheme="minorHAnsi"/>
          <w:b/>
          <w:bCs/>
          <w:color w:val="0070C0"/>
          <w:sz w:val="22"/>
          <w:szCs w:val="22"/>
          <w:lang w:val="es-ES"/>
        </w:rPr>
        <w:t>a</w:t>
      </w:r>
      <w:r w:rsidRPr="00507CB8">
        <w:rPr>
          <w:rStyle w:val="normaltextrun"/>
          <w:rFonts w:asciiTheme="minorHAnsi" w:hAnsiTheme="minorHAnsi" w:cstheme="minorHAnsi"/>
          <w:b/>
          <w:bCs/>
          <w:color w:val="0070C0"/>
          <w:sz w:val="22"/>
          <w:szCs w:val="22"/>
          <w:lang w:val="es-ES"/>
        </w:rPr>
        <w:t>ra m</w:t>
      </w:r>
      <w:r w:rsidR="00D57B22" w:rsidRPr="00507CB8">
        <w:rPr>
          <w:rStyle w:val="normaltextrun"/>
          <w:rFonts w:asciiTheme="minorHAnsi" w:hAnsiTheme="minorHAnsi" w:cstheme="minorHAnsi"/>
          <w:b/>
          <w:bCs/>
          <w:color w:val="0070C0"/>
          <w:sz w:val="22"/>
          <w:szCs w:val="22"/>
          <w:lang w:val="es-ES"/>
        </w:rPr>
        <w:t>á</w:t>
      </w:r>
      <w:r w:rsidRPr="00507CB8">
        <w:rPr>
          <w:rStyle w:val="normaltextrun"/>
          <w:rFonts w:asciiTheme="minorHAnsi" w:hAnsiTheme="minorHAnsi" w:cstheme="minorHAnsi"/>
          <w:b/>
          <w:bCs/>
          <w:color w:val="0070C0"/>
          <w:sz w:val="22"/>
          <w:szCs w:val="22"/>
          <w:lang w:val="es-ES"/>
        </w:rPr>
        <w:t>s informació</w:t>
      </w:r>
      <w:r w:rsidR="00D57B22" w:rsidRPr="00507CB8">
        <w:rPr>
          <w:rStyle w:val="normaltextrun"/>
          <w:rFonts w:asciiTheme="minorHAnsi" w:hAnsiTheme="minorHAnsi" w:cstheme="minorHAnsi"/>
          <w:b/>
          <w:bCs/>
          <w:color w:val="0070C0"/>
          <w:sz w:val="22"/>
          <w:szCs w:val="22"/>
          <w:lang w:val="es-ES"/>
        </w:rPr>
        <w:t>n</w:t>
      </w:r>
      <w:r w:rsidRPr="00507CB8">
        <w:rPr>
          <w:rStyle w:val="normaltextrun"/>
          <w:rFonts w:asciiTheme="minorHAnsi" w:hAnsiTheme="minorHAnsi" w:cstheme="minorHAnsi"/>
          <w:b/>
          <w:bCs/>
          <w:color w:val="0070C0"/>
          <w:sz w:val="22"/>
          <w:szCs w:val="22"/>
          <w:lang w:val="es-ES"/>
        </w:rPr>
        <w:t>:</w:t>
      </w:r>
    </w:p>
    <w:p w14:paraId="56AFE191" w14:textId="026DC5EC" w:rsidR="00FF567B" w:rsidRPr="00507CB8" w:rsidRDefault="00FF567B" w:rsidP="000242B1">
      <w:pPr>
        <w:pStyle w:val="paragraph"/>
        <w:spacing w:before="120" w:beforeAutospacing="0" w:after="120" w:afterAutospacing="0" w:line="276" w:lineRule="auto"/>
        <w:jc w:val="both"/>
        <w:textAlignment w:val="baseline"/>
        <w:rPr>
          <w:rStyle w:val="normaltextrun"/>
          <w:rFonts w:asciiTheme="minorHAnsi" w:hAnsiTheme="minorHAnsi" w:cstheme="minorHAnsi"/>
          <w:sz w:val="22"/>
          <w:szCs w:val="22"/>
          <w:lang w:val="es-ES"/>
        </w:rPr>
      </w:pPr>
      <w:r w:rsidRPr="00507CB8">
        <w:rPr>
          <w:rStyle w:val="normaltextrun"/>
          <w:rFonts w:asciiTheme="minorHAnsi" w:hAnsiTheme="minorHAnsi" w:cstheme="minorHAnsi"/>
          <w:b/>
          <w:bCs/>
          <w:color w:val="1F3763"/>
          <w:sz w:val="22"/>
          <w:szCs w:val="22"/>
          <w:shd w:val="clear" w:color="auto" w:fill="FFFFFF"/>
          <w:lang w:val="es-ES"/>
        </w:rPr>
        <w:t>ICAC Comunicació</w:t>
      </w:r>
      <w:r w:rsidR="00D57B22" w:rsidRPr="00507CB8">
        <w:rPr>
          <w:rStyle w:val="normaltextrun"/>
          <w:rFonts w:asciiTheme="minorHAnsi" w:hAnsiTheme="minorHAnsi" w:cstheme="minorHAnsi"/>
          <w:b/>
          <w:bCs/>
          <w:color w:val="1F3763"/>
          <w:sz w:val="22"/>
          <w:szCs w:val="22"/>
          <w:shd w:val="clear" w:color="auto" w:fill="FFFFFF"/>
          <w:lang w:val="es-ES"/>
        </w:rPr>
        <w:t>n</w:t>
      </w:r>
      <w:r w:rsidRPr="00507CB8">
        <w:rPr>
          <w:rStyle w:val="normaltextrun"/>
          <w:rFonts w:asciiTheme="minorHAnsi" w:hAnsiTheme="minorHAnsi" w:cstheme="minorHAnsi"/>
          <w:b/>
          <w:bCs/>
          <w:color w:val="1F3763"/>
          <w:sz w:val="22"/>
          <w:szCs w:val="22"/>
          <w:shd w:val="clear" w:color="auto" w:fill="FFFFFF"/>
          <w:lang w:val="es-ES"/>
        </w:rPr>
        <w:t xml:space="preserve"> (Maura Lerga): </w:t>
      </w:r>
      <w:r w:rsidRPr="00507CB8">
        <w:rPr>
          <w:rStyle w:val="normaltextrun"/>
          <w:rFonts w:asciiTheme="minorHAnsi" w:hAnsiTheme="minorHAnsi" w:cstheme="minorHAnsi"/>
          <w:sz w:val="22"/>
          <w:szCs w:val="22"/>
          <w:lang w:val="es-ES"/>
        </w:rPr>
        <w:t>680.619.185 (</w:t>
      </w:r>
      <w:hyperlink r:id="rId29" w:history="1">
        <w:r w:rsidRPr="00507CB8">
          <w:rPr>
            <w:rStyle w:val="Hipervnculo"/>
            <w:rFonts w:asciiTheme="minorHAnsi" w:hAnsiTheme="minorHAnsi" w:cstheme="minorHAnsi"/>
            <w:sz w:val="22"/>
            <w:szCs w:val="22"/>
            <w:lang w:val="es-ES"/>
          </w:rPr>
          <w:t>comunicacio@icac.cat</w:t>
        </w:r>
      </w:hyperlink>
      <w:r w:rsidRPr="00507CB8">
        <w:rPr>
          <w:rStyle w:val="normaltextrun"/>
          <w:rFonts w:asciiTheme="minorHAnsi" w:hAnsiTheme="minorHAnsi" w:cstheme="minorHAnsi"/>
          <w:sz w:val="22"/>
          <w:szCs w:val="22"/>
          <w:lang w:val="es-ES"/>
        </w:rPr>
        <w:t xml:space="preserve">) / </w:t>
      </w:r>
      <w:hyperlink r:id="rId30" w:history="1">
        <w:r w:rsidRPr="00507CB8">
          <w:rPr>
            <w:rStyle w:val="Hipervnculo"/>
            <w:rFonts w:asciiTheme="minorHAnsi" w:hAnsiTheme="minorHAnsi" w:cstheme="minorHAnsi"/>
            <w:b/>
            <w:bCs/>
            <w:sz w:val="22"/>
            <w:szCs w:val="22"/>
            <w:lang w:val="es-ES"/>
          </w:rPr>
          <w:t>@ICAC_cat</w:t>
        </w:r>
      </w:hyperlink>
    </w:p>
    <w:p w14:paraId="2A24DBE6" w14:textId="489BC6B3" w:rsidR="006F0453" w:rsidRPr="00507CB8" w:rsidRDefault="00975845" w:rsidP="000242B1">
      <w:pPr>
        <w:snapToGrid w:val="0"/>
        <w:spacing w:before="120" w:after="120"/>
        <w:jc w:val="both"/>
        <w:rPr>
          <w:rFonts w:cstheme="minorHAnsi"/>
          <w:lang w:val="es-ES"/>
        </w:rPr>
      </w:pPr>
      <w:r w:rsidRPr="00507CB8">
        <w:rPr>
          <w:rStyle w:val="normaltextrun"/>
          <w:rFonts w:cstheme="minorHAnsi"/>
          <w:b/>
          <w:bCs/>
          <w:color w:val="1F3763"/>
          <w:shd w:val="clear" w:color="auto" w:fill="FFFFFF"/>
          <w:lang w:val="es-ES"/>
        </w:rPr>
        <w:t>Investigador de refer</w:t>
      </w:r>
      <w:r w:rsidR="00D57B22" w:rsidRPr="00507CB8">
        <w:rPr>
          <w:rStyle w:val="normaltextrun"/>
          <w:rFonts w:cstheme="minorHAnsi"/>
          <w:b/>
          <w:bCs/>
          <w:color w:val="1F3763"/>
          <w:shd w:val="clear" w:color="auto" w:fill="FFFFFF"/>
          <w:lang w:val="es-ES"/>
        </w:rPr>
        <w:t>e</w:t>
      </w:r>
      <w:r w:rsidRPr="00507CB8">
        <w:rPr>
          <w:rStyle w:val="normaltextrun"/>
          <w:rFonts w:cstheme="minorHAnsi"/>
          <w:b/>
          <w:bCs/>
          <w:color w:val="1F3763"/>
          <w:shd w:val="clear" w:color="auto" w:fill="FFFFFF"/>
          <w:lang w:val="es-ES"/>
        </w:rPr>
        <w:t>ncia</w:t>
      </w:r>
      <w:r w:rsidR="00FF567B" w:rsidRPr="00507CB8">
        <w:rPr>
          <w:rStyle w:val="normaltextrun"/>
          <w:rFonts w:cstheme="minorHAnsi"/>
          <w:b/>
          <w:bCs/>
          <w:color w:val="1F3763"/>
          <w:shd w:val="clear" w:color="auto" w:fill="FFFFFF"/>
          <w:lang w:val="es-ES"/>
        </w:rPr>
        <w:t xml:space="preserve">: </w:t>
      </w:r>
      <w:hyperlink r:id="rId31" w:history="1">
        <w:r w:rsidR="00507CB8" w:rsidRPr="00507CB8">
          <w:rPr>
            <w:rStyle w:val="Hipervnculo"/>
            <w:rFonts w:cstheme="minorHAnsi"/>
            <w:lang w:val="es-ES"/>
          </w:rPr>
          <w:t>jpalet@icac.cat</w:t>
        </w:r>
      </w:hyperlink>
    </w:p>
    <w:sectPr w:rsidR="006F0453" w:rsidRPr="00507CB8" w:rsidSect="00617C2E">
      <w:headerReference w:type="default" r:id="rId32"/>
      <w:footerReference w:type="default" r:id="rId33"/>
      <w:pgSz w:w="11906" w:h="16838"/>
      <w:pgMar w:top="212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4F862" w14:textId="77777777" w:rsidR="00992424" w:rsidRDefault="00992424" w:rsidP="00081C4C">
      <w:pPr>
        <w:spacing w:after="0" w:line="240" w:lineRule="auto"/>
      </w:pPr>
      <w:r>
        <w:separator/>
      </w:r>
    </w:p>
  </w:endnote>
  <w:endnote w:type="continuationSeparator" w:id="0">
    <w:p w14:paraId="1B2CE093" w14:textId="77777777" w:rsidR="00992424" w:rsidRDefault="00992424" w:rsidP="00081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oto Serif">
    <w:charset w:val="00"/>
    <w:family w:val="roman"/>
    <w:pitch w:val="variable"/>
    <w:sig w:usb0="E00002FF" w:usb1="500078FF" w:usb2="00000029"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FCB3F" w14:textId="5FE6F6BA" w:rsidR="00617C2E" w:rsidRPr="00617C2E" w:rsidRDefault="00617C2E" w:rsidP="00617C2E">
    <w:pPr>
      <w:pStyle w:val="Piedepgina"/>
      <w:jc w:val="center"/>
      <w:rPr>
        <w:rFonts w:cs="Arial"/>
        <w:sz w:val="12"/>
        <w:szCs w:val="12"/>
      </w:rPr>
    </w:pPr>
    <w:r>
      <w:rPr>
        <w:noProof/>
        <w:sz w:val="16"/>
        <w:szCs w:val="16"/>
        <w:lang w:eastAsia="ca-ES"/>
      </w:rPr>
      <mc:AlternateContent>
        <mc:Choice Requires="wps">
          <w:drawing>
            <wp:anchor distT="0" distB="0" distL="114300" distR="114300" simplePos="0" relativeHeight="251658752" behindDoc="0" locked="0" layoutInCell="1" allowOverlap="1" wp14:anchorId="169025CE" wp14:editId="6F43814B">
              <wp:simplePos x="0" y="0"/>
              <wp:positionH relativeFrom="margin">
                <wp:posOffset>-3810</wp:posOffset>
              </wp:positionH>
              <wp:positionV relativeFrom="paragraph">
                <wp:posOffset>-72391</wp:posOffset>
              </wp:positionV>
              <wp:extent cx="5391150" cy="14605"/>
              <wp:effectExtent l="0" t="0" r="19050" b="2349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115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DFD79" id="Line 7"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pt,-5.7pt" to="424.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ougEAAFYDAAAOAAAAZHJzL2Uyb0RvYy54bWysU8Fu2zAMvQ/YPwi6L7azuViNOD2k6y7d&#10;FqDd7owk28JkURCV2Pn7SaqXbu1tmA+CKJKPj4/05mYeDTspTxpty6tVyZmyAqW2fcu/P969+8gZ&#10;BbASDFrV8rMifrN9+2YzuUatcUAjlWcRxFIzuZYPIbimKEgMagRaoVM2Ojv0I4Ro+r6QHqaIPppi&#10;XZZXxYReOo9CEcXX2ycn32b8rlMifOs6UoGZlkduIZ8+n4d0FtsNNL0HN2ix0IB/YDGCtrHoBeoW&#10;ArCj16+gRi08EnZhJXAssOu0ULmH2E1VvujmYQCnci9RHHIXmej/wYqvp53d+0RdzPbB3aP4Sczi&#10;bgDbq0zg8ezi4KokVTE5ai4pySC39+wwfUEZY+AYMKswd35kndHuR0pM4LFTNmfZzxfZ1RyYiI/1&#10;++uqquN0RPRVH67KOteCJsGkZOcpfFY4snRpudE2qQINnO4pJFrPIenZ4p02Jk/WWDa1/Lpe1zmB&#10;0GiZnCmMfH/YGc9OkHYjf0vdv8I8Hq3MYIMC+Wm5B9Dm6R6LG7tIk9RIq0fNAeV5739LFoeXWS6L&#10;lrbjTztnP/8O218AAAD//wMAUEsDBBQABgAIAAAAIQCNkwqh3QAAAAgBAAAPAAAAZHJzL2Rvd25y&#10;ZXYueG1sTI/NTsMwEITvSLyDtUjcWielqtIQp6oQcEFCogTOTrxNotrrKHbT8PYsJ3ranxnNflvs&#10;ZmfFhGPoPSlIlwkIpMabnloF1efLIgMRoiajrSdU8IMBduXtTaFz4y/0gdMhtoJDKORaQRfjkEsZ&#10;mg6dDks/ILF29KPTkcexlWbUFw53Vq6SZCOd7okvdHrApw6b0+HsFOy/354f3qfaeWu2bfVlXJW8&#10;rpS6v5v3jyAizvHfDH/4jA4lM9X+TCYIq2CxYSOXNF2DYD1bZ9zUvNmmIMtCXj9Q/gIAAP//AwBQ&#10;SwECLQAUAAYACAAAACEAtoM4kv4AAADhAQAAEwAAAAAAAAAAAAAAAAAAAAAAW0NvbnRlbnRfVHlw&#10;ZXNdLnhtbFBLAQItABQABgAIAAAAIQA4/SH/1gAAAJQBAAALAAAAAAAAAAAAAAAAAC8BAABfcmVs&#10;cy8ucmVsc1BLAQItABQABgAIAAAAIQCAXN+ougEAAFYDAAAOAAAAAAAAAAAAAAAAAC4CAABkcnMv&#10;ZTJvRG9jLnhtbFBLAQItABQABgAIAAAAIQCNkwqh3QAAAAgBAAAPAAAAAAAAAAAAAAAAABQEAABk&#10;cnMvZG93bnJldi54bWxQSwUGAAAAAAQABADzAAAAHgUAAAAA&#10;">
              <w10:wrap anchorx="margin"/>
            </v:line>
          </w:pict>
        </mc:Fallback>
      </mc:AlternateContent>
    </w:r>
    <w:hyperlink r:id="rId1" w:history="1">
      <w:r>
        <w:rPr>
          <w:rStyle w:val="Hipervnculo"/>
          <w:rFonts w:cs="Arial"/>
          <w:sz w:val="12"/>
          <w:szCs w:val="12"/>
        </w:rPr>
        <w:t>www.icac.cat</w:t>
      </w:r>
    </w:hyperlink>
    <w:r>
      <w:rPr>
        <w:rFonts w:cs="Arial"/>
        <w:sz w:val="12"/>
        <w:szCs w:val="12"/>
      </w:rPr>
      <w:t xml:space="preserve"> </w:t>
    </w:r>
    <w:r w:rsidRPr="002932D4">
      <w:rPr>
        <w:rFonts w:cs="Arial"/>
        <w:sz w:val="12"/>
        <w:szCs w:val="12"/>
      </w:rPr>
      <w:t xml:space="preserve">• Pl. d’en Rovellat, s/n, 43003 Tarragona • Telèfon </w:t>
    </w:r>
    <w:r>
      <w:rPr>
        <w:rFonts w:cs="Arial"/>
        <w:sz w:val="12"/>
        <w:szCs w:val="12"/>
      </w:rPr>
      <w:t>680</w:t>
    </w:r>
    <w:r w:rsidRPr="002932D4">
      <w:rPr>
        <w:rFonts w:cs="Arial"/>
        <w:sz w:val="12"/>
        <w:szCs w:val="12"/>
      </w:rPr>
      <w:t xml:space="preserve"> </w:t>
    </w:r>
    <w:r>
      <w:rPr>
        <w:rFonts w:cs="Arial"/>
        <w:sz w:val="12"/>
        <w:szCs w:val="12"/>
      </w:rPr>
      <w:t>619 185</w:t>
    </w:r>
    <w:r w:rsidRPr="002932D4">
      <w:rPr>
        <w:rFonts w:cs="Arial"/>
        <w:sz w:val="12"/>
        <w:szCs w:val="12"/>
      </w:rPr>
      <w:t xml:space="preserve"> • </w:t>
    </w:r>
    <w:hyperlink r:id="rId2" w:history="1">
      <w:r w:rsidRPr="006507F5">
        <w:rPr>
          <w:rStyle w:val="Hipervnculo"/>
          <w:rFonts w:cs="Arial"/>
          <w:sz w:val="12"/>
          <w:szCs w:val="12"/>
        </w:rPr>
        <w:t>comunicacio@icac.cat</w:t>
      </w:r>
    </w:hyperlink>
    <w:r>
      <w:rPr>
        <w:rFonts w:cs="Arial"/>
        <w:sz w:val="12"/>
        <w:szCs w:val="12"/>
      </w:rPr>
      <w:t xml:space="preserve"> </w:t>
    </w:r>
    <w:r w:rsidRPr="002932D4">
      <w:rPr>
        <w:rFonts w:cs="Arial"/>
        <w:sz w:val="12"/>
        <w:szCs w:val="12"/>
      </w:rPr>
      <w:t xml:space="preserve">• </w:t>
    </w:r>
    <w:hyperlink r:id="rId3" w:history="1">
      <w:r w:rsidR="00D40265" w:rsidRPr="00D40265">
        <w:rPr>
          <w:rStyle w:val="Hipervnculo"/>
          <w:rFonts w:cs="Arial"/>
          <w:sz w:val="12"/>
          <w:szCs w:val="12"/>
        </w:rPr>
        <w:t>@ICAC_cat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A75B6" w14:textId="77777777" w:rsidR="00992424" w:rsidRDefault="00992424" w:rsidP="00081C4C">
      <w:pPr>
        <w:spacing w:after="0" w:line="240" w:lineRule="auto"/>
      </w:pPr>
      <w:r>
        <w:separator/>
      </w:r>
    </w:p>
  </w:footnote>
  <w:footnote w:type="continuationSeparator" w:id="0">
    <w:p w14:paraId="398C316A" w14:textId="77777777" w:rsidR="00992424" w:rsidRDefault="00992424" w:rsidP="00081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BBFF4" w14:textId="709B65D2" w:rsidR="00081C4C" w:rsidRDefault="00081C4C">
    <w:pPr>
      <w:pStyle w:val="Encabezado"/>
    </w:pPr>
    <w:r>
      <w:rPr>
        <w:noProof/>
      </w:rPr>
      <w:drawing>
        <wp:inline distT="0" distB="0" distL="0" distR="0" wp14:anchorId="149E2D64" wp14:editId="134011CC">
          <wp:extent cx="1143575" cy="624840"/>
          <wp:effectExtent l="0" t="0" r="0" b="3810"/>
          <wp:docPr id="3"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
                    <a:extLst>
                      <a:ext uri="{28A0092B-C50C-407E-A947-70E740481C1C}">
                        <a14:useLocalDpi xmlns:a14="http://schemas.microsoft.com/office/drawing/2010/main" val="0"/>
                      </a:ext>
                    </a:extLst>
                  </a:blip>
                  <a:stretch>
                    <a:fillRect/>
                  </a:stretch>
                </pic:blipFill>
                <pic:spPr>
                  <a:xfrm>
                    <a:off x="0" y="0"/>
                    <a:ext cx="1143575"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C3222"/>
    <w:multiLevelType w:val="hybridMultilevel"/>
    <w:tmpl w:val="CF769D22"/>
    <w:lvl w:ilvl="0" w:tplc="947A9E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2A31B7B"/>
    <w:multiLevelType w:val="multilevel"/>
    <w:tmpl w:val="F4529B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A76315"/>
    <w:multiLevelType w:val="hybridMultilevel"/>
    <w:tmpl w:val="49A22736"/>
    <w:lvl w:ilvl="0" w:tplc="77E0609A">
      <w:start w:val="1"/>
      <w:numFmt w:val="decimal"/>
      <w:lvlText w:val="%1."/>
      <w:lvlJc w:val="left"/>
      <w:pPr>
        <w:ind w:left="720" w:hanging="360"/>
      </w:pPr>
      <w:rPr>
        <w:rFonts w:ascii="Calibri" w:hAnsi="Calibri" w:cs="Calibri" w:hint="default"/>
        <w:sz w:val="22"/>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55556156"/>
    <w:multiLevelType w:val="multilevel"/>
    <w:tmpl w:val="BA9EAFF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584B73E3"/>
    <w:multiLevelType w:val="hybridMultilevel"/>
    <w:tmpl w:val="34A05330"/>
    <w:lvl w:ilvl="0" w:tplc="6BAAEC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50F0991"/>
    <w:multiLevelType w:val="hybridMultilevel"/>
    <w:tmpl w:val="79C266E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16cid:durableId="578253421">
    <w:abstractNumId w:val="5"/>
  </w:num>
  <w:num w:numId="2" w16cid:durableId="1343514720">
    <w:abstractNumId w:val="2"/>
  </w:num>
  <w:num w:numId="3" w16cid:durableId="1421560977">
    <w:abstractNumId w:val="4"/>
  </w:num>
  <w:num w:numId="4" w16cid:durableId="1347319467">
    <w:abstractNumId w:val="0"/>
  </w:num>
  <w:num w:numId="5" w16cid:durableId="400063116">
    <w:abstractNumId w:val="3"/>
  </w:num>
  <w:num w:numId="6" w16cid:durableId="1813911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06BF"/>
    <w:rsid w:val="000242B1"/>
    <w:rsid w:val="00034A21"/>
    <w:rsid w:val="00081C4C"/>
    <w:rsid w:val="000A4658"/>
    <w:rsid w:val="0014567F"/>
    <w:rsid w:val="001C5860"/>
    <w:rsid w:val="001E442F"/>
    <w:rsid w:val="00257573"/>
    <w:rsid w:val="00270046"/>
    <w:rsid w:val="00297AF9"/>
    <w:rsid w:val="002A6C2B"/>
    <w:rsid w:val="002A6DC7"/>
    <w:rsid w:val="002E5A70"/>
    <w:rsid w:val="00333780"/>
    <w:rsid w:val="00371BC9"/>
    <w:rsid w:val="0037580F"/>
    <w:rsid w:val="0039305E"/>
    <w:rsid w:val="003B13A5"/>
    <w:rsid w:val="003D7827"/>
    <w:rsid w:val="003E4957"/>
    <w:rsid w:val="003E6B13"/>
    <w:rsid w:val="004058FE"/>
    <w:rsid w:val="004261B8"/>
    <w:rsid w:val="004924D9"/>
    <w:rsid w:val="00494CFE"/>
    <w:rsid w:val="004E495C"/>
    <w:rsid w:val="00507CB8"/>
    <w:rsid w:val="005277A5"/>
    <w:rsid w:val="005663A6"/>
    <w:rsid w:val="00596A28"/>
    <w:rsid w:val="005A100C"/>
    <w:rsid w:val="005D4387"/>
    <w:rsid w:val="00601CEF"/>
    <w:rsid w:val="006169F0"/>
    <w:rsid w:val="00617C2E"/>
    <w:rsid w:val="00620FF0"/>
    <w:rsid w:val="00667197"/>
    <w:rsid w:val="006809F4"/>
    <w:rsid w:val="006A20B3"/>
    <w:rsid w:val="006A5B4F"/>
    <w:rsid w:val="006D4136"/>
    <w:rsid w:val="006F0453"/>
    <w:rsid w:val="006F7BB9"/>
    <w:rsid w:val="00704AA4"/>
    <w:rsid w:val="0071268A"/>
    <w:rsid w:val="00732A84"/>
    <w:rsid w:val="00737272"/>
    <w:rsid w:val="007501FE"/>
    <w:rsid w:val="0076222B"/>
    <w:rsid w:val="008142F3"/>
    <w:rsid w:val="00824372"/>
    <w:rsid w:val="0083302D"/>
    <w:rsid w:val="00836F66"/>
    <w:rsid w:val="00841756"/>
    <w:rsid w:val="0087139C"/>
    <w:rsid w:val="00873550"/>
    <w:rsid w:val="008A5863"/>
    <w:rsid w:val="008C4BB2"/>
    <w:rsid w:val="009143D4"/>
    <w:rsid w:val="009357B5"/>
    <w:rsid w:val="00955773"/>
    <w:rsid w:val="00975845"/>
    <w:rsid w:val="00992424"/>
    <w:rsid w:val="00995F98"/>
    <w:rsid w:val="009D1933"/>
    <w:rsid w:val="00A006BF"/>
    <w:rsid w:val="00A06770"/>
    <w:rsid w:val="00A53947"/>
    <w:rsid w:val="00A80BA8"/>
    <w:rsid w:val="00A81BEB"/>
    <w:rsid w:val="00A826F1"/>
    <w:rsid w:val="00AA1960"/>
    <w:rsid w:val="00AD4413"/>
    <w:rsid w:val="00AF3A56"/>
    <w:rsid w:val="00B47395"/>
    <w:rsid w:val="00B95832"/>
    <w:rsid w:val="00BC3473"/>
    <w:rsid w:val="00BE318F"/>
    <w:rsid w:val="00C04152"/>
    <w:rsid w:val="00C20773"/>
    <w:rsid w:val="00C56973"/>
    <w:rsid w:val="00C56F54"/>
    <w:rsid w:val="00C76B30"/>
    <w:rsid w:val="00CB028C"/>
    <w:rsid w:val="00CF265C"/>
    <w:rsid w:val="00D36A02"/>
    <w:rsid w:val="00D40265"/>
    <w:rsid w:val="00D56D00"/>
    <w:rsid w:val="00D57B22"/>
    <w:rsid w:val="00D72661"/>
    <w:rsid w:val="00D72ECA"/>
    <w:rsid w:val="00D9292D"/>
    <w:rsid w:val="00DF506D"/>
    <w:rsid w:val="00E34E71"/>
    <w:rsid w:val="00E8094D"/>
    <w:rsid w:val="00EB2607"/>
    <w:rsid w:val="00EB355B"/>
    <w:rsid w:val="00F20A45"/>
    <w:rsid w:val="00F26E44"/>
    <w:rsid w:val="00F41CF0"/>
    <w:rsid w:val="00FC1281"/>
    <w:rsid w:val="00FE7639"/>
    <w:rsid w:val="00FF567B"/>
  </w:rsids>
  <m:mathPr>
    <m:mathFont m:val="Cambria Math"/>
    <m:brkBin m:val="before"/>
    <m:brkBinSub m:val="--"/>
    <m:smallFrac m:val="0"/>
    <m:dispDef/>
    <m:lMargin m:val="0"/>
    <m:rMargin m:val="0"/>
    <m:defJc m:val="centerGroup"/>
    <m:wrapIndent m:val="1440"/>
    <m:intLim m:val="subSup"/>
    <m:naryLim m:val="undOvr"/>
  </m:mathPr>
  <w:themeFontLang w:val="ca-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60771"/>
  <w15:docId w15:val="{234F39F2-1F24-4325-B344-BD90FAB85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07CB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5">
    <w:name w:val="heading 5"/>
    <w:basedOn w:val="Normal"/>
    <w:link w:val="Ttulo5Car"/>
    <w:uiPriority w:val="9"/>
    <w:qFormat/>
    <w:rsid w:val="000242B1"/>
    <w:pPr>
      <w:spacing w:before="100" w:beforeAutospacing="1" w:after="100" w:afterAutospacing="1" w:line="240" w:lineRule="auto"/>
      <w:outlineLvl w:val="4"/>
    </w:pPr>
    <w:rPr>
      <w:rFonts w:ascii="Times New Roman" w:eastAsia="Times New Roman" w:hAnsi="Times New Roman" w:cs="Times New Roman"/>
      <w:b/>
      <w:bCs/>
      <w:sz w:val="20"/>
      <w:szCs w:val="20"/>
      <w:lang w:val="es-ES" w:eastAsia="zh-CN"/>
    </w:rPr>
  </w:style>
  <w:style w:type="paragraph" w:styleId="Ttulo6">
    <w:name w:val="heading 6"/>
    <w:basedOn w:val="Normal"/>
    <w:link w:val="Ttulo6Car"/>
    <w:uiPriority w:val="9"/>
    <w:qFormat/>
    <w:rsid w:val="000242B1"/>
    <w:pPr>
      <w:spacing w:before="100" w:beforeAutospacing="1" w:after="100" w:afterAutospacing="1" w:line="240" w:lineRule="auto"/>
      <w:outlineLvl w:val="5"/>
    </w:pPr>
    <w:rPr>
      <w:rFonts w:ascii="Times New Roman" w:eastAsia="Times New Roman" w:hAnsi="Times New Roman" w:cs="Times New Roman"/>
      <w:b/>
      <w:bCs/>
      <w:sz w:val="15"/>
      <w:szCs w:val="15"/>
      <w:lang w:val="es-ES"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3D7827"/>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normaltextrun">
    <w:name w:val="normaltextrun"/>
    <w:basedOn w:val="Fuentedeprrafopredeter"/>
    <w:rsid w:val="003D7827"/>
  </w:style>
  <w:style w:type="character" w:customStyle="1" w:styleId="eop">
    <w:name w:val="eop"/>
    <w:basedOn w:val="Fuentedeprrafopredeter"/>
    <w:rsid w:val="003D7827"/>
  </w:style>
  <w:style w:type="paragraph" w:styleId="Encabezado">
    <w:name w:val="header"/>
    <w:basedOn w:val="Normal"/>
    <w:link w:val="EncabezadoCar"/>
    <w:uiPriority w:val="99"/>
    <w:unhideWhenUsed/>
    <w:rsid w:val="00081C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1C4C"/>
  </w:style>
  <w:style w:type="paragraph" w:styleId="Piedepgina">
    <w:name w:val="footer"/>
    <w:basedOn w:val="Normal"/>
    <w:link w:val="PiedepginaCar"/>
    <w:uiPriority w:val="99"/>
    <w:unhideWhenUsed/>
    <w:rsid w:val="00081C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1C4C"/>
  </w:style>
  <w:style w:type="table" w:styleId="Tablaconcuadrcula">
    <w:name w:val="Table Grid"/>
    <w:basedOn w:val="Tablanormal"/>
    <w:uiPriority w:val="39"/>
    <w:rsid w:val="00081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4387"/>
    <w:rPr>
      <w:color w:val="0000FF" w:themeColor="hyperlink"/>
      <w:u w:val="single"/>
    </w:rPr>
  </w:style>
  <w:style w:type="character" w:styleId="Mencinsinresolver">
    <w:name w:val="Unresolved Mention"/>
    <w:basedOn w:val="Fuentedeprrafopredeter"/>
    <w:uiPriority w:val="99"/>
    <w:semiHidden/>
    <w:unhideWhenUsed/>
    <w:rsid w:val="005D4387"/>
    <w:rPr>
      <w:color w:val="605E5C"/>
      <w:shd w:val="clear" w:color="auto" w:fill="E1DFDD"/>
    </w:rPr>
  </w:style>
  <w:style w:type="character" w:styleId="Hipervnculovisitado">
    <w:name w:val="FollowedHyperlink"/>
    <w:basedOn w:val="Fuentedeprrafopredeter"/>
    <w:uiPriority w:val="99"/>
    <w:semiHidden/>
    <w:unhideWhenUsed/>
    <w:rsid w:val="00FF567B"/>
    <w:rPr>
      <w:color w:val="800080" w:themeColor="followedHyperlink"/>
      <w:u w:val="single"/>
    </w:rPr>
  </w:style>
  <w:style w:type="paragraph" w:styleId="NormalWeb">
    <w:name w:val="Normal (Web)"/>
    <w:basedOn w:val="Normal"/>
    <w:uiPriority w:val="99"/>
    <w:unhideWhenUsed/>
    <w:rsid w:val="00C04152"/>
    <w:pPr>
      <w:spacing w:before="100" w:beforeAutospacing="1" w:after="100" w:afterAutospacing="1" w:line="240" w:lineRule="auto"/>
    </w:pPr>
    <w:rPr>
      <w:rFonts w:ascii="Times New Roman" w:eastAsia="Times New Roman" w:hAnsi="Times New Roman" w:cs="Times New Roman"/>
      <w:sz w:val="24"/>
      <w:szCs w:val="24"/>
      <w:lang w:val="es-ES" w:eastAsia="zh-CN"/>
    </w:rPr>
  </w:style>
  <w:style w:type="character" w:customStyle="1" w:styleId="Ttulo5Car">
    <w:name w:val="Título 5 Car"/>
    <w:basedOn w:val="Fuentedeprrafopredeter"/>
    <w:link w:val="Ttulo5"/>
    <w:uiPriority w:val="9"/>
    <w:rsid w:val="000242B1"/>
    <w:rPr>
      <w:rFonts w:ascii="Times New Roman" w:eastAsia="Times New Roman" w:hAnsi="Times New Roman" w:cs="Times New Roman"/>
      <w:b/>
      <w:bCs/>
      <w:sz w:val="20"/>
      <w:szCs w:val="20"/>
      <w:lang w:val="es-ES" w:eastAsia="zh-CN"/>
    </w:rPr>
  </w:style>
  <w:style w:type="character" w:customStyle="1" w:styleId="Ttulo6Car">
    <w:name w:val="Título 6 Car"/>
    <w:basedOn w:val="Fuentedeprrafopredeter"/>
    <w:link w:val="Ttulo6"/>
    <w:uiPriority w:val="9"/>
    <w:rsid w:val="000242B1"/>
    <w:rPr>
      <w:rFonts w:ascii="Times New Roman" w:eastAsia="Times New Roman" w:hAnsi="Times New Roman" w:cs="Times New Roman"/>
      <w:b/>
      <w:bCs/>
      <w:sz w:val="15"/>
      <w:szCs w:val="15"/>
      <w:lang w:val="es-ES" w:eastAsia="zh-CN"/>
    </w:rPr>
  </w:style>
  <w:style w:type="character" w:styleId="Textoennegrita">
    <w:name w:val="Strong"/>
    <w:basedOn w:val="Fuentedeprrafopredeter"/>
    <w:uiPriority w:val="22"/>
    <w:qFormat/>
    <w:rsid w:val="000242B1"/>
    <w:rPr>
      <w:b/>
      <w:bCs/>
    </w:rPr>
  </w:style>
  <w:style w:type="character" w:styleId="nfasis">
    <w:name w:val="Emphasis"/>
    <w:basedOn w:val="Fuentedeprrafopredeter"/>
    <w:uiPriority w:val="20"/>
    <w:qFormat/>
    <w:rsid w:val="000242B1"/>
    <w:rPr>
      <w:i/>
      <w:iCs/>
    </w:rPr>
  </w:style>
  <w:style w:type="character" w:customStyle="1" w:styleId="name">
    <w:name w:val="name"/>
    <w:basedOn w:val="Fuentedeprrafopredeter"/>
    <w:rsid w:val="000242B1"/>
  </w:style>
  <w:style w:type="character" w:customStyle="1" w:styleId="Ttulo1Car">
    <w:name w:val="Título 1 Car"/>
    <w:basedOn w:val="Fuentedeprrafopredeter"/>
    <w:link w:val="Ttulo1"/>
    <w:uiPriority w:val="9"/>
    <w:rsid w:val="00507CB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903765">
      <w:bodyDiv w:val="1"/>
      <w:marLeft w:val="0"/>
      <w:marRight w:val="0"/>
      <w:marTop w:val="0"/>
      <w:marBottom w:val="0"/>
      <w:divBdr>
        <w:top w:val="none" w:sz="0" w:space="0" w:color="auto"/>
        <w:left w:val="none" w:sz="0" w:space="0" w:color="auto"/>
        <w:bottom w:val="none" w:sz="0" w:space="0" w:color="auto"/>
        <w:right w:val="none" w:sz="0" w:space="0" w:color="auto"/>
      </w:divBdr>
      <w:divsChild>
        <w:div w:id="941373015">
          <w:marLeft w:val="0"/>
          <w:marRight w:val="0"/>
          <w:marTop w:val="0"/>
          <w:marBottom w:val="180"/>
          <w:divBdr>
            <w:top w:val="single" w:sz="6" w:space="9" w:color="F2CDBA"/>
            <w:left w:val="single" w:sz="6" w:space="9" w:color="F2CDBA"/>
            <w:bottom w:val="single" w:sz="6" w:space="0" w:color="F2CDBA"/>
            <w:right w:val="single" w:sz="6" w:space="9" w:color="F2CDBA"/>
          </w:divBdr>
        </w:div>
        <w:div w:id="588084256">
          <w:marLeft w:val="360"/>
          <w:marRight w:val="0"/>
          <w:marTop w:val="0"/>
          <w:marBottom w:val="0"/>
          <w:divBdr>
            <w:top w:val="none" w:sz="0" w:space="0" w:color="auto"/>
            <w:left w:val="single" w:sz="18" w:space="15" w:color="D36227"/>
            <w:bottom w:val="none" w:sz="0" w:space="0" w:color="auto"/>
            <w:right w:val="none" w:sz="0" w:space="0" w:color="auto"/>
          </w:divBdr>
          <w:divsChild>
            <w:div w:id="1119951601">
              <w:marLeft w:val="0"/>
              <w:marRight w:val="0"/>
              <w:marTop w:val="0"/>
              <w:marBottom w:val="0"/>
              <w:divBdr>
                <w:top w:val="none" w:sz="0" w:space="0" w:color="auto"/>
                <w:left w:val="none" w:sz="0" w:space="0" w:color="auto"/>
                <w:bottom w:val="none" w:sz="0" w:space="0" w:color="auto"/>
                <w:right w:val="none" w:sz="0" w:space="0" w:color="auto"/>
              </w:divBdr>
            </w:div>
          </w:divsChild>
        </w:div>
        <w:div w:id="1925526688">
          <w:marLeft w:val="360"/>
          <w:marRight w:val="0"/>
          <w:marTop w:val="0"/>
          <w:marBottom w:val="0"/>
          <w:divBdr>
            <w:top w:val="none" w:sz="0" w:space="0" w:color="auto"/>
            <w:left w:val="single" w:sz="18" w:space="15" w:color="D36227"/>
            <w:bottom w:val="none" w:sz="0" w:space="0" w:color="auto"/>
            <w:right w:val="none" w:sz="0" w:space="0" w:color="auto"/>
          </w:divBdr>
          <w:divsChild>
            <w:div w:id="231474710">
              <w:marLeft w:val="0"/>
              <w:marRight w:val="0"/>
              <w:marTop w:val="0"/>
              <w:marBottom w:val="0"/>
              <w:divBdr>
                <w:top w:val="none" w:sz="0" w:space="0" w:color="auto"/>
                <w:left w:val="none" w:sz="0" w:space="0" w:color="auto"/>
                <w:bottom w:val="none" w:sz="0" w:space="0" w:color="auto"/>
                <w:right w:val="none" w:sz="0" w:space="0" w:color="auto"/>
              </w:divBdr>
            </w:div>
          </w:divsChild>
        </w:div>
        <w:div w:id="695929716">
          <w:marLeft w:val="360"/>
          <w:marRight w:val="0"/>
          <w:marTop w:val="0"/>
          <w:marBottom w:val="0"/>
          <w:divBdr>
            <w:top w:val="none" w:sz="0" w:space="0" w:color="auto"/>
            <w:left w:val="single" w:sz="18" w:space="15" w:color="D36227"/>
            <w:bottom w:val="none" w:sz="0" w:space="0" w:color="auto"/>
            <w:right w:val="none" w:sz="0" w:space="0" w:color="auto"/>
          </w:divBdr>
          <w:divsChild>
            <w:div w:id="1859730240">
              <w:marLeft w:val="0"/>
              <w:marRight w:val="0"/>
              <w:marTop w:val="0"/>
              <w:marBottom w:val="0"/>
              <w:divBdr>
                <w:top w:val="none" w:sz="0" w:space="0" w:color="auto"/>
                <w:left w:val="none" w:sz="0" w:space="0" w:color="auto"/>
                <w:bottom w:val="none" w:sz="0" w:space="0" w:color="auto"/>
                <w:right w:val="none" w:sz="0" w:space="0" w:color="auto"/>
              </w:divBdr>
            </w:div>
          </w:divsChild>
        </w:div>
        <w:div w:id="1817524160">
          <w:marLeft w:val="0"/>
          <w:marRight w:val="0"/>
          <w:marTop w:val="0"/>
          <w:marBottom w:val="180"/>
          <w:divBdr>
            <w:top w:val="single" w:sz="6" w:space="9" w:color="F2CDBA"/>
            <w:left w:val="single" w:sz="6" w:space="9" w:color="F2CDBA"/>
            <w:bottom w:val="single" w:sz="6" w:space="0" w:color="F2CDBA"/>
            <w:right w:val="single" w:sz="6" w:space="9" w:color="F2CDBA"/>
          </w:divBdr>
        </w:div>
        <w:div w:id="1406418799">
          <w:marLeft w:val="0"/>
          <w:marRight w:val="0"/>
          <w:marTop w:val="0"/>
          <w:marBottom w:val="180"/>
          <w:divBdr>
            <w:top w:val="single" w:sz="6" w:space="9" w:color="F2CDBA"/>
            <w:left w:val="single" w:sz="6" w:space="9" w:color="F2CDBA"/>
            <w:bottom w:val="single" w:sz="6" w:space="0" w:color="F2CDBA"/>
            <w:right w:val="single" w:sz="6" w:space="9" w:color="F2CDBA"/>
          </w:divBdr>
        </w:div>
      </w:divsChild>
    </w:div>
    <w:div w:id="462816587">
      <w:bodyDiv w:val="1"/>
      <w:marLeft w:val="0"/>
      <w:marRight w:val="0"/>
      <w:marTop w:val="0"/>
      <w:marBottom w:val="0"/>
      <w:divBdr>
        <w:top w:val="none" w:sz="0" w:space="0" w:color="auto"/>
        <w:left w:val="none" w:sz="0" w:space="0" w:color="auto"/>
        <w:bottom w:val="none" w:sz="0" w:space="0" w:color="auto"/>
        <w:right w:val="none" w:sz="0" w:space="0" w:color="auto"/>
      </w:divBdr>
    </w:div>
    <w:div w:id="655036308">
      <w:bodyDiv w:val="1"/>
      <w:marLeft w:val="0"/>
      <w:marRight w:val="0"/>
      <w:marTop w:val="0"/>
      <w:marBottom w:val="0"/>
      <w:divBdr>
        <w:top w:val="none" w:sz="0" w:space="0" w:color="auto"/>
        <w:left w:val="none" w:sz="0" w:space="0" w:color="auto"/>
        <w:bottom w:val="none" w:sz="0" w:space="0" w:color="auto"/>
        <w:right w:val="none" w:sz="0" w:space="0" w:color="auto"/>
      </w:divBdr>
    </w:div>
    <w:div w:id="857815756">
      <w:bodyDiv w:val="1"/>
      <w:marLeft w:val="0"/>
      <w:marRight w:val="0"/>
      <w:marTop w:val="0"/>
      <w:marBottom w:val="0"/>
      <w:divBdr>
        <w:top w:val="none" w:sz="0" w:space="0" w:color="auto"/>
        <w:left w:val="none" w:sz="0" w:space="0" w:color="auto"/>
        <w:bottom w:val="none" w:sz="0" w:space="0" w:color="auto"/>
        <w:right w:val="none" w:sz="0" w:space="0" w:color="auto"/>
      </w:divBdr>
    </w:div>
    <w:div w:id="1102723503">
      <w:bodyDiv w:val="1"/>
      <w:marLeft w:val="0"/>
      <w:marRight w:val="0"/>
      <w:marTop w:val="0"/>
      <w:marBottom w:val="0"/>
      <w:divBdr>
        <w:top w:val="none" w:sz="0" w:space="0" w:color="auto"/>
        <w:left w:val="none" w:sz="0" w:space="0" w:color="auto"/>
        <w:bottom w:val="none" w:sz="0" w:space="0" w:color="auto"/>
        <w:right w:val="none" w:sz="0" w:space="0" w:color="auto"/>
      </w:divBdr>
      <w:divsChild>
        <w:div w:id="72553489">
          <w:marLeft w:val="0"/>
          <w:marRight w:val="0"/>
          <w:marTop w:val="0"/>
          <w:marBottom w:val="0"/>
          <w:divBdr>
            <w:top w:val="none" w:sz="0" w:space="0" w:color="auto"/>
            <w:left w:val="none" w:sz="0" w:space="0" w:color="auto"/>
            <w:bottom w:val="none" w:sz="0" w:space="0" w:color="auto"/>
            <w:right w:val="none" w:sz="0" w:space="0" w:color="auto"/>
          </w:divBdr>
        </w:div>
        <w:div w:id="258878602">
          <w:marLeft w:val="0"/>
          <w:marRight w:val="0"/>
          <w:marTop w:val="0"/>
          <w:marBottom w:val="0"/>
          <w:divBdr>
            <w:top w:val="none" w:sz="0" w:space="0" w:color="auto"/>
            <w:left w:val="none" w:sz="0" w:space="0" w:color="auto"/>
            <w:bottom w:val="none" w:sz="0" w:space="0" w:color="auto"/>
            <w:right w:val="none" w:sz="0" w:space="0" w:color="auto"/>
          </w:divBdr>
          <w:divsChild>
            <w:div w:id="1691179962">
              <w:marLeft w:val="0"/>
              <w:marRight w:val="0"/>
              <w:marTop w:val="0"/>
              <w:marBottom w:val="0"/>
              <w:divBdr>
                <w:top w:val="none" w:sz="0" w:space="0" w:color="auto"/>
                <w:left w:val="none" w:sz="0" w:space="0" w:color="auto"/>
                <w:bottom w:val="none" w:sz="0" w:space="0" w:color="auto"/>
                <w:right w:val="none" w:sz="0" w:space="0" w:color="auto"/>
              </w:divBdr>
            </w:div>
          </w:divsChild>
        </w:div>
        <w:div w:id="466163368">
          <w:marLeft w:val="0"/>
          <w:marRight w:val="0"/>
          <w:marTop w:val="0"/>
          <w:marBottom w:val="0"/>
          <w:divBdr>
            <w:top w:val="none" w:sz="0" w:space="0" w:color="auto"/>
            <w:left w:val="none" w:sz="0" w:space="0" w:color="auto"/>
            <w:bottom w:val="none" w:sz="0" w:space="0" w:color="auto"/>
            <w:right w:val="none" w:sz="0" w:space="0" w:color="auto"/>
          </w:divBdr>
          <w:divsChild>
            <w:div w:id="1083069063">
              <w:marLeft w:val="0"/>
              <w:marRight w:val="0"/>
              <w:marTop w:val="0"/>
              <w:marBottom w:val="0"/>
              <w:divBdr>
                <w:top w:val="none" w:sz="0" w:space="0" w:color="auto"/>
                <w:left w:val="none" w:sz="0" w:space="0" w:color="auto"/>
                <w:bottom w:val="none" w:sz="0" w:space="0" w:color="auto"/>
                <w:right w:val="none" w:sz="0" w:space="0" w:color="auto"/>
              </w:divBdr>
            </w:div>
          </w:divsChild>
        </w:div>
        <w:div w:id="950167595">
          <w:marLeft w:val="0"/>
          <w:marRight w:val="0"/>
          <w:marTop w:val="0"/>
          <w:marBottom w:val="0"/>
          <w:divBdr>
            <w:top w:val="none" w:sz="0" w:space="0" w:color="auto"/>
            <w:left w:val="none" w:sz="0" w:space="0" w:color="auto"/>
            <w:bottom w:val="none" w:sz="0" w:space="0" w:color="auto"/>
            <w:right w:val="none" w:sz="0" w:space="0" w:color="auto"/>
          </w:divBdr>
        </w:div>
        <w:div w:id="635841581">
          <w:marLeft w:val="0"/>
          <w:marRight w:val="0"/>
          <w:marTop w:val="0"/>
          <w:marBottom w:val="0"/>
          <w:divBdr>
            <w:top w:val="none" w:sz="0" w:space="0" w:color="auto"/>
            <w:left w:val="none" w:sz="0" w:space="0" w:color="auto"/>
            <w:bottom w:val="none" w:sz="0" w:space="0" w:color="auto"/>
            <w:right w:val="none" w:sz="0" w:space="0" w:color="auto"/>
          </w:divBdr>
          <w:divsChild>
            <w:div w:id="1908417076">
              <w:marLeft w:val="0"/>
              <w:marRight w:val="0"/>
              <w:marTop w:val="0"/>
              <w:marBottom w:val="0"/>
              <w:divBdr>
                <w:top w:val="none" w:sz="0" w:space="0" w:color="auto"/>
                <w:left w:val="none" w:sz="0" w:space="0" w:color="auto"/>
                <w:bottom w:val="none" w:sz="0" w:space="0" w:color="auto"/>
                <w:right w:val="none" w:sz="0" w:space="0" w:color="auto"/>
              </w:divBdr>
            </w:div>
          </w:divsChild>
        </w:div>
        <w:div w:id="643856228">
          <w:marLeft w:val="0"/>
          <w:marRight w:val="0"/>
          <w:marTop w:val="0"/>
          <w:marBottom w:val="0"/>
          <w:divBdr>
            <w:top w:val="none" w:sz="0" w:space="0" w:color="auto"/>
            <w:left w:val="none" w:sz="0" w:space="0" w:color="auto"/>
            <w:bottom w:val="none" w:sz="0" w:space="0" w:color="auto"/>
            <w:right w:val="none" w:sz="0" w:space="0" w:color="auto"/>
          </w:divBdr>
        </w:div>
        <w:div w:id="1165827452">
          <w:marLeft w:val="0"/>
          <w:marRight w:val="0"/>
          <w:marTop w:val="0"/>
          <w:marBottom w:val="0"/>
          <w:divBdr>
            <w:top w:val="none" w:sz="0" w:space="0" w:color="auto"/>
            <w:left w:val="none" w:sz="0" w:space="0" w:color="auto"/>
            <w:bottom w:val="none" w:sz="0" w:space="0" w:color="auto"/>
            <w:right w:val="none" w:sz="0" w:space="0" w:color="auto"/>
          </w:divBdr>
          <w:divsChild>
            <w:div w:id="1534920976">
              <w:marLeft w:val="0"/>
              <w:marRight w:val="0"/>
              <w:marTop w:val="0"/>
              <w:marBottom w:val="0"/>
              <w:divBdr>
                <w:top w:val="none" w:sz="0" w:space="0" w:color="auto"/>
                <w:left w:val="none" w:sz="0" w:space="0" w:color="auto"/>
                <w:bottom w:val="none" w:sz="0" w:space="0" w:color="auto"/>
                <w:right w:val="none" w:sz="0" w:space="0" w:color="auto"/>
              </w:divBdr>
            </w:div>
          </w:divsChild>
        </w:div>
        <w:div w:id="959729267">
          <w:marLeft w:val="0"/>
          <w:marRight w:val="0"/>
          <w:marTop w:val="0"/>
          <w:marBottom w:val="0"/>
          <w:divBdr>
            <w:top w:val="none" w:sz="0" w:space="0" w:color="auto"/>
            <w:left w:val="none" w:sz="0" w:space="0" w:color="auto"/>
            <w:bottom w:val="none" w:sz="0" w:space="0" w:color="auto"/>
            <w:right w:val="none" w:sz="0" w:space="0" w:color="auto"/>
          </w:divBdr>
        </w:div>
        <w:div w:id="2121294432">
          <w:marLeft w:val="0"/>
          <w:marRight w:val="0"/>
          <w:marTop w:val="0"/>
          <w:marBottom w:val="0"/>
          <w:divBdr>
            <w:top w:val="none" w:sz="0" w:space="0" w:color="auto"/>
            <w:left w:val="none" w:sz="0" w:space="0" w:color="auto"/>
            <w:bottom w:val="none" w:sz="0" w:space="0" w:color="auto"/>
            <w:right w:val="none" w:sz="0" w:space="0" w:color="auto"/>
          </w:divBdr>
        </w:div>
        <w:div w:id="1989702419">
          <w:marLeft w:val="0"/>
          <w:marRight w:val="0"/>
          <w:marTop w:val="0"/>
          <w:marBottom w:val="0"/>
          <w:divBdr>
            <w:top w:val="none" w:sz="0" w:space="0" w:color="auto"/>
            <w:left w:val="none" w:sz="0" w:space="0" w:color="auto"/>
            <w:bottom w:val="none" w:sz="0" w:space="0" w:color="auto"/>
            <w:right w:val="none" w:sz="0" w:space="0" w:color="auto"/>
          </w:divBdr>
          <w:divsChild>
            <w:div w:id="3721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4725">
      <w:bodyDiv w:val="1"/>
      <w:marLeft w:val="0"/>
      <w:marRight w:val="0"/>
      <w:marTop w:val="0"/>
      <w:marBottom w:val="0"/>
      <w:divBdr>
        <w:top w:val="none" w:sz="0" w:space="0" w:color="auto"/>
        <w:left w:val="none" w:sz="0" w:space="0" w:color="auto"/>
        <w:bottom w:val="none" w:sz="0" w:space="0" w:color="auto"/>
        <w:right w:val="none" w:sz="0" w:space="0" w:color="auto"/>
      </w:divBdr>
      <w:divsChild>
        <w:div w:id="1857422246">
          <w:marLeft w:val="0"/>
          <w:marRight w:val="0"/>
          <w:marTop w:val="0"/>
          <w:marBottom w:val="0"/>
          <w:divBdr>
            <w:top w:val="none" w:sz="0" w:space="0" w:color="auto"/>
            <w:left w:val="none" w:sz="0" w:space="0" w:color="auto"/>
            <w:bottom w:val="none" w:sz="0" w:space="0" w:color="auto"/>
            <w:right w:val="none" w:sz="0" w:space="0" w:color="auto"/>
          </w:divBdr>
        </w:div>
        <w:div w:id="246232495">
          <w:marLeft w:val="0"/>
          <w:marRight w:val="0"/>
          <w:marTop w:val="0"/>
          <w:marBottom w:val="0"/>
          <w:divBdr>
            <w:top w:val="none" w:sz="0" w:space="0" w:color="auto"/>
            <w:left w:val="none" w:sz="0" w:space="0" w:color="auto"/>
            <w:bottom w:val="none" w:sz="0" w:space="0" w:color="auto"/>
            <w:right w:val="none" w:sz="0" w:space="0" w:color="auto"/>
          </w:divBdr>
        </w:div>
        <w:div w:id="157114688">
          <w:marLeft w:val="0"/>
          <w:marRight w:val="0"/>
          <w:marTop w:val="0"/>
          <w:marBottom w:val="0"/>
          <w:divBdr>
            <w:top w:val="none" w:sz="0" w:space="0" w:color="auto"/>
            <w:left w:val="none" w:sz="0" w:space="0" w:color="auto"/>
            <w:bottom w:val="none" w:sz="0" w:space="0" w:color="auto"/>
            <w:right w:val="none" w:sz="0" w:space="0" w:color="auto"/>
          </w:divBdr>
        </w:div>
        <w:div w:id="188761145">
          <w:marLeft w:val="0"/>
          <w:marRight w:val="0"/>
          <w:marTop w:val="0"/>
          <w:marBottom w:val="0"/>
          <w:divBdr>
            <w:top w:val="none" w:sz="0" w:space="0" w:color="auto"/>
            <w:left w:val="none" w:sz="0" w:space="0" w:color="auto"/>
            <w:bottom w:val="none" w:sz="0" w:space="0" w:color="auto"/>
            <w:right w:val="none" w:sz="0" w:space="0" w:color="auto"/>
          </w:divBdr>
        </w:div>
      </w:divsChild>
    </w:div>
    <w:div w:id="1529029011">
      <w:bodyDiv w:val="1"/>
      <w:marLeft w:val="0"/>
      <w:marRight w:val="0"/>
      <w:marTop w:val="0"/>
      <w:marBottom w:val="0"/>
      <w:divBdr>
        <w:top w:val="none" w:sz="0" w:space="0" w:color="auto"/>
        <w:left w:val="none" w:sz="0" w:space="0" w:color="auto"/>
        <w:bottom w:val="none" w:sz="0" w:space="0" w:color="auto"/>
        <w:right w:val="none" w:sz="0" w:space="0" w:color="auto"/>
      </w:divBdr>
    </w:div>
    <w:div w:id="1841040169">
      <w:bodyDiv w:val="1"/>
      <w:marLeft w:val="0"/>
      <w:marRight w:val="0"/>
      <w:marTop w:val="0"/>
      <w:marBottom w:val="0"/>
      <w:divBdr>
        <w:top w:val="none" w:sz="0" w:space="0" w:color="auto"/>
        <w:left w:val="none" w:sz="0" w:space="0" w:color="auto"/>
        <w:bottom w:val="none" w:sz="0" w:space="0" w:color="auto"/>
        <w:right w:val="none" w:sz="0" w:space="0" w:color="auto"/>
      </w:divBdr>
    </w:div>
    <w:div w:id="187854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useos.navilens.com/index.html" TargetMode="External"/><Relationship Id="rId18" Type="http://schemas.openxmlformats.org/officeDocument/2006/relationships/hyperlink" Target="https://www.museuderipoll.org/"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icac.cat/qui-som/personal/mflorez_giap/"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parcsnaturals.gencat.cat/ca/xarxa-de-parcs/ter-freser/inici/" TargetMode="External"/><Relationship Id="rId17" Type="http://schemas.openxmlformats.org/officeDocument/2006/relationships/hyperlink" Target="https://parcsnaturals.gencat.cat/ca/xarxa-de-parcs/ter-freser/inici/" TargetMode="External"/><Relationship Id="rId25" Type="http://schemas.openxmlformats.org/officeDocument/2006/relationships/hyperlink" Target="https://icac.cat/qui-som/personal/paliend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valldenuria.cat/estiu/activitats/exposicions/" TargetMode="External"/><Relationship Id="rId20" Type="http://schemas.openxmlformats.org/officeDocument/2006/relationships/hyperlink" Target="https://icac.cat/qui-som/personal/jpalet/" TargetMode="External"/><Relationship Id="rId29" Type="http://schemas.openxmlformats.org/officeDocument/2006/relationships/hyperlink" Target="mailto:comunicacio@icac.c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useuderipoll.org/" TargetMode="External"/><Relationship Id="rId24" Type="http://schemas.openxmlformats.org/officeDocument/2006/relationships/hyperlink" Target="https://icac.cat/qui-som/personal/abelgallego/"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icac.cat/qui-som/personal/vpescini/" TargetMode="External"/><Relationship Id="rId28" Type="http://schemas.openxmlformats.org/officeDocument/2006/relationships/hyperlink" Target="http://www.icac.cat/es" TargetMode="External"/><Relationship Id="rId10" Type="http://schemas.openxmlformats.org/officeDocument/2006/relationships/hyperlink" Target="https://www.valldenuria.cat/estiu/activitats/exposicions/" TargetMode="External"/><Relationship Id="rId19" Type="http://schemas.openxmlformats.org/officeDocument/2006/relationships/hyperlink" Target="http://www.ajqueralbs.cat/" TargetMode="External"/><Relationship Id="rId31" Type="http://schemas.openxmlformats.org/officeDocument/2006/relationships/hyperlink" Target="mailto:jpalet@icac.ca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navilens.com/es/" TargetMode="External"/><Relationship Id="rId22" Type="http://schemas.openxmlformats.org/officeDocument/2006/relationships/hyperlink" Target="https://icac.cat/qui-som/personal/acarbonell" TargetMode="External"/><Relationship Id="rId27" Type="http://schemas.openxmlformats.org/officeDocument/2006/relationships/hyperlink" Target="http://www.icac.cat" TargetMode="External"/><Relationship Id="rId30" Type="http://schemas.openxmlformats.org/officeDocument/2006/relationships/hyperlink" Target="https://twitter.com/ICAC_cat" TargetMode="External"/><Relationship Id="rId35" Type="http://schemas.openxmlformats.org/officeDocument/2006/relationships/theme" Target="theme/theme1.xml"/><Relationship Id="rId8" Type="http://schemas.openxmlformats.org/officeDocument/2006/relationships/hyperlink" Target="https://giap.icac.ca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twitter.com/ICAC_cat" TargetMode="External"/><Relationship Id="rId2" Type="http://schemas.openxmlformats.org/officeDocument/2006/relationships/hyperlink" Target="mailto:comunicacio@icac.cat" TargetMode="External"/><Relationship Id="rId1" Type="http://schemas.openxmlformats.org/officeDocument/2006/relationships/hyperlink" Target="http://www.icac.c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7</Pages>
  <Words>1648</Words>
  <Characters>9400</Characters>
  <Application>Microsoft Office Word</Application>
  <DocSecurity>0</DocSecurity>
  <Lines>78</Lines>
  <Paragraphs>22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ICAC</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 Lopez Vilar</dc:creator>
  <cp:lastModifiedBy>Maura Lerga Felip</cp:lastModifiedBy>
  <cp:revision>6</cp:revision>
  <dcterms:created xsi:type="dcterms:W3CDTF">2022-04-05T10:56:00Z</dcterms:created>
  <dcterms:modified xsi:type="dcterms:W3CDTF">2022-05-03T08:04:00Z</dcterms:modified>
</cp:coreProperties>
</file>